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1AFC" w14:textId="7EB40A36" w:rsidR="00EE05D8" w:rsidRPr="00EE05D8" w:rsidRDefault="00EE05D8" w:rsidP="00EE05D8">
      <w:pPr>
        <w:spacing w:line="276" w:lineRule="auto"/>
        <w:jc w:val="both"/>
        <w:rPr>
          <w:rFonts w:ascii="Geomanist" w:hAnsi="Geomanist"/>
          <w:b/>
          <w:bCs/>
          <w:sz w:val="21"/>
          <w:szCs w:val="21"/>
          <w:lang w:val="es-MX"/>
        </w:rPr>
      </w:pPr>
      <w:r>
        <w:rPr>
          <w:rFonts w:ascii="Geomanist" w:hAnsi="Geomanist"/>
          <w:b/>
          <w:bCs/>
          <w:sz w:val="21"/>
          <w:szCs w:val="21"/>
          <w:lang w:val="es-MX"/>
        </w:rPr>
        <w:t>a</w:t>
      </w:r>
      <w:r w:rsidRPr="00EE05D8">
        <w:rPr>
          <w:rFonts w:ascii="Geomanist" w:hAnsi="Geomanist"/>
          <w:b/>
          <w:bCs/>
          <w:sz w:val="21"/>
          <w:szCs w:val="21"/>
          <w:lang w:val="es-MX"/>
        </w:rPr>
        <w:t xml:space="preserve">) </w:t>
      </w:r>
      <w:r w:rsidRPr="00EE05D8">
        <w:rPr>
          <w:rFonts w:ascii="Geomanist" w:hAnsi="Geomanist"/>
          <w:b/>
          <w:bCs/>
          <w:sz w:val="21"/>
          <w:szCs w:val="21"/>
          <w:lang w:val="es-MX"/>
        </w:rPr>
        <w:tab/>
        <w:t>Vigencia de la contratación.</w:t>
      </w:r>
    </w:p>
    <w:p w14:paraId="2A9DF9BC" w14:textId="59CC6C50"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La vigencia del servicio iniciará a partir del día natural siguiente a la notificación de la adjudicación y hasta el 31 de diciembre de </w:t>
      </w:r>
      <w:r w:rsidR="00F5215A">
        <w:rPr>
          <w:rFonts w:ascii="Geomanist" w:hAnsi="Geomanist"/>
          <w:sz w:val="21"/>
          <w:szCs w:val="21"/>
          <w:lang w:val="es-MX"/>
        </w:rPr>
        <w:t>2026</w:t>
      </w:r>
      <w:r w:rsidRPr="00EE05D8">
        <w:rPr>
          <w:rFonts w:ascii="Geomanist" w:hAnsi="Geomanist"/>
          <w:sz w:val="21"/>
          <w:szCs w:val="21"/>
          <w:lang w:val="es-MX"/>
        </w:rPr>
        <w:t>.</w:t>
      </w:r>
    </w:p>
    <w:p w14:paraId="09826004" w14:textId="77777777" w:rsidR="00EE05D8" w:rsidRPr="00EE05D8" w:rsidRDefault="00EE05D8" w:rsidP="00EE05D8">
      <w:pPr>
        <w:spacing w:line="276" w:lineRule="auto"/>
        <w:jc w:val="both"/>
        <w:rPr>
          <w:rFonts w:ascii="Geomanist" w:hAnsi="Geomanist"/>
          <w:b/>
          <w:bCs/>
          <w:sz w:val="21"/>
          <w:szCs w:val="21"/>
          <w:lang w:val="es-MX"/>
        </w:rPr>
      </w:pPr>
    </w:p>
    <w:p w14:paraId="69AA2E33" w14:textId="77777777" w:rsidR="00EE05D8" w:rsidRPr="00EE05D8" w:rsidRDefault="00EE05D8" w:rsidP="00EE05D8">
      <w:pPr>
        <w:spacing w:line="276" w:lineRule="auto"/>
        <w:jc w:val="both"/>
        <w:rPr>
          <w:rFonts w:ascii="Geomanist" w:hAnsi="Geomanist"/>
          <w:b/>
          <w:bCs/>
          <w:sz w:val="21"/>
          <w:szCs w:val="21"/>
          <w:lang w:val="es-MX"/>
        </w:rPr>
      </w:pPr>
      <w:r w:rsidRPr="00EE05D8">
        <w:rPr>
          <w:rFonts w:ascii="Geomanist" w:hAnsi="Geomanist"/>
          <w:b/>
          <w:bCs/>
          <w:sz w:val="21"/>
          <w:szCs w:val="21"/>
          <w:lang w:val="es-MX"/>
        </w:rPr>
        <w:t xml:space="preserve">b) </w:t>
      </w:r>
      <w:r w:rsidRPr="00EE05D8">
        <w:rPr>
          <w:rFonts w:ascii="Geomanist" w:hAnsi="Geomanist"/>
          <w:b/>
          <w:bCs/>
          <w:sz w:val="21"/>
          <w:szCs w:val="21"/>
          <w:lang w:val="es-MX"/>
        </w:rPr>
        <w:tab/>
        <w:t>Plazo y programas de entrega.</w:t>
      </w:r>
    </w:p>
    <w:p w14:paraId="6DDC91E1"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b/>
          <w:bCs/>
          <w:sz w:val="21"/>
          <w:szCs w:val="21"/>
          <w:lang w:val="es-MX"/>
        </w:rPr>
        <w:t>Plazo de Entrega</w:t>
      </w:r>
    </w:p>
    <w:p w14:paraId="41D55FB2" w14:textId="77777777" w:rsidR="00EE05D8" w:rsidRPr="00EE05D8" w:rsidRDefault="00EE05D8" w:rsidP="00EE05D8">
      <w:pPr>
        <w:spacing w:line="276" w:lineRule="auto"/>
        <w:jc w:val="both"/>
        <w:rPr>
          <w:rFonts w:ascii="Geomanist" w:hAnsi="Geomanist"/>
          <w:sz w:val="21"/>
          <w:szCs w:val="21"/>
          <w:lang w:val="es-MX"/>
        </w:rPr>
      </w:pPr>
    </w:p>
    <w:p w14:paraId="31C50C5A" w14:textId="26AE5D24"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La prestación del servicio iniciará a partir del día natural siguiente a la notificación de la adjudicación y hasta el 31 de diciembre de </w:t>
      </w:r>
      <w:r w:rsidR="00F5215A">
        <w:rPr>
          <w:rFonts w:ascii="Geomanist" w:hAnsi="Geomanist"/>
          <w:sz w:val="21"/>
          <w:szCs w:val="21"/>
          <w:lang w:val="es-MX"/>
        </w:rPr>
        <w:t>2026</w:t>
      </w:r>
      <w:r w:rsidRPr="00EE05D8">
        <w:rPr>
          <w:rFonts w:ascii="Geomanist" w:hAnsi="Geomanist"/>
          <w:sz w:val="21"/>
          <w:szCs w:val="21"/>
          <w:lang w:val="es-MX"/>
        </w:rPr>
        <w:t>.</w:t>
      </w:r>
    </w:p>
    <w:p w14:paraId="6F77A69E" w14:textId="77777777" w:rsidR="00EE05D8" w:rsidRPr="00EE05D8" w:rsidRDefault="00EE05D8" w:rsidP="00EE05D8">
      <w:pPr>
        <w:spacing w:line="276" w:lineRule="auto"/>
        <w:jc w:val="both"/>
        <w:rPr>
          <w:rFonts w:ascii="Geomanist" w:hAnsi="Geomanist"/>
          <w:sz w:val="21"/>
          <w:szCs w:val="21"/>
          <w:lang w:val="es-MX"/>
        </w:rPr>
      </w:pPr>
    </w:p>
    <w:p w14:paraId="5C3FF801"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El Proveedor, a fin de acreditar el cumplimiento de sus obligaciones contractuales, se obliga a entregar los documentos y testigos derivados de la orden de servicio para su revisión dentro de los cinco días hábiles posteriores al vencimiento de dicha orden, así mismo, deberá dar cumplimiento al plazo de cinco días hábiles para el ingreso de documentos a trámite de pago de acuerdo con lo establecido en el inciso K (forma de pago) de este documento de términos y condiciones.</w:t>
      </w:r>
    </w:p>
    <w:p w14:paraId="1D1A1AE7" w14:textId="77777777" w:rsidR="00EE05D8" w:rsidRPr="00EE05D8" w:rsidRDefault="00EE05D8" w:rsidP="00EE05D8">
      <w:pPr>
        <w:spacing w:line="276" w:lineRule="auto"/>
        <w:jc w:val="both"/>
        <w:rPr>
          <w:rFonts w:ascii="Geomanist" w:hAnsi="Geomanist"/>
          <w:sz w:val="21"/>
          <w:szCs w:val="21"/>
          <w:lang w:val="es-MX"/>
        </w:rPr>
      </w:pPr>
    </w:p>
    <w:p w14:paraId="0D86CFE9"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07E2D5C5" w14:textId="77777777" w:rsidR="00EE05D8" w:rsidRPr="00EE05D8" w:rsidRDefault="00EE05D8" w:rsidP="00EE05D8">
      <w:pPr>
        <w:spacing w:line="276" w:lineRule="auto"/>
        <w:jc w:val="both"/>
        <w:rPr>
          <w:rFonts w:ascii="Geomanist" w:hAnsi="Geomanist"/>
          <w:sz w:val="21"/>
          <w:szCs w:val="21"/>
          <w:lang w:val="es-MX"/>
        </w:rPr>
      </w:pPr>
    </w:p>
    <w:p w14:paraId="242F9BEB" w14:textId="1EDFFEB9"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Las entregas antes descritas, </w:t>
      </w:r>
      <w:r w:rsidRPr="00EE05D8">
        <w:rPr>
          <w:rFonts w:ascii="Geomanist" w:hAnsi="Geomanist"/>
          <w:b/>
          <w:bCs/>
          <w:sz w:val="21"/>
          <w:szCs w:val="21"/>
          <w:lang w:val="es-MX"/>
        </w:rPr>
        <w:t>EL PROVEEDOR</w:t>
      </w:r>
      <w:r w:rsidRPr="00EE05D8">
        <w:rPr>
          <w:rFonts w:ascii="Geomanist" w:hAnsi="Geomanist"/>
          <w:sz w:val="21"/>
          <w:szCs w:val="21"/>
          <w:lang w:val="es-MX"/>
        </w:rPr>
        <w:t xml:space="preserve">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w:t>
      </w:r>
      <w:r w:rsidRPr="00EE05D8">
        <w:rPr>
          <w:rFonts w:ascii="Geomanist" w:hAnsi="Geomanist"/>
          <w:b/>
          <w:bCs/>
          <w:sz w:val="21"/>
          <w:szCs w:val="21"/>
          <w:lang w:val="es-MX"/>
        </w:rPr>
        <w:t xml:space="preserve">ANEXO TÉCNICO PARA LA PRESTACIÓN DEL SERVICIO DE DIFUSIÓN DE LAS CAMPAÑAS INSTITUCIONALES </w:t>
      </w:r>
      <w:r w:rsidR="00F5215A">
        <w:rPr>
          <w:rFonts w:ascii="Geomanist" w:hAnsi="Geomanist"/>
          <w:b/>
          <w:bCs/>
          <w:sz w:val="21"/>
          <w:szCs w:val="21"/>
          <w:lang w:val="es-MX"/>
        </w:rPr>
        <w:t>2026</w:t>
      </w:r>
      <w:r w:rsidRPr="00EE05D8">
        <w:rPr>
          <w:rFonts w:ascii="Geomanist" w:hAnsi="Geomanist"/>
          <w:b/>
          <w:bCs/>
          <w:sz w:val="21"/>
          <w:szCs w:val="21"/>
          <w:lang w:val="es-MX"/>
        </w:rPr>
        <w:t>, A TRAVÉS DE MEDIOS DE COMUNICACIÓN COMPLEMENTARIOS IMPRESOS (KIOSCOS, DOVELAS, PANELES DE ANDÉN, VALLAS, PARABUSES, ESPECTACULARES, CARTELERAS Y OTROS SIMILARES).</w:t>
      </w:r>
    </w:p>
    <w:p w14:paraId="517D466F" w14:textId="77777777" w:rsidR="00EE05D8" w:rsidRDefault="00EE05D8" w:rsidP="00EE05D8">
      <w:pPr>
        <w:spacing w:line="276" w:lineRule="auto"/>
        <w:jc w:val="both"/>
        <w:rPr>
          <w:rFonts w:ascii="Geomanist" w:hAnsi="Geomanist"/>
          <w:sz w:val="21"/>
          <w:szCs w:val="21"/>
          <w:lang w:val="es-MX"/>
        </w:rPr>
      </w:pPr>
    </w:p>
    <w:p w14:paraId="4E03F5C7"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b/>
          <w:bCs/>
          <w:sz w:val="21"/>
          <w:szCs w:val="21"/>
          <w:lang w:val="es-MX"/>
        </w:rPr>
        <w:t>Programas de Entrega</w:t>
      </w:r>
    </w:p>
    <w:p w14:paraId="08F8AAE3" w14:textId="77777777" w:rsidR="00EE05D8" w:rsidRPr="00EE05D8" w:rsidRDefault="00EE05D8" w:rsidP="00EE05D8">
      <w:pPr>
        <w:spacing w:line="276" w:lineRule="auto"/>
        <w:jc w:val="both"/>
        <w:rPr>
          <w:rFonts w:ascii="Geomanist" w:hAnsi="Geomanist"/>
          <w:sz w:val="21"/>
          <w:szCs w:val="21"/>
          <w:lang w:val="es-MX"/>
        </w:rPr>
      </w:pPr>
    </w:p>
    <w:p w14:paraId="46C086E7" w14:textId="19C69848"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Las entregas y el número de mensajes para difundir por cada medio se determinan en las órdenes de servicio que al efecto emita la Coordinación Técnica de Difusión a través del administrador del contrato, conforme se detallan en el </w:t>
      </w:r>
      <w:r w:rsidRPr="00EE05D8">
        <w:rPr>
          <w:rFonts w:ascii="Geomanist" w:hAnsi="Geomanist"/>
          <w:b/>
          <w:bCs/>
          <w:sz w:val="21"/>
          <w:szCs w:val="21"/>
          <w:lang w:val="es-MX"/>
        </w:rPr>
        <w:t xml:space="preserve">ANEXO TÉCNICO PARA LA PRESTACIÓN DEL SERVICIO DE DIFUSIÓN DE LAS CAMPAÑAS INSTITUCIONALES </w:t>
      </w:r>
      <w:r w:rsidR="00F5215A">
        <w:rPr>
          <w:rFonts w:ascii="Geomanist" w:hAnsi="Geomanist"/>
          <w:b/>
          <w:bCs/>
          <w:sz w:val="21"/>
          <w:szCs w:val="21"/>
          <w:lang w:val="es-MX"/>
        </w:rPr>
        <w:t>2026</w:t>
      </w:r>
      <w:r w:rsidRPr="00EE05D8">
        <w:rPr>
          <w:rFonts w:ascii="Geomanist" w:hAnsi="Geomanist"/>
          <w:b/>
          <w:bCs/>
          <w:sz w:val="21"/>
          <w:szCs w:val="21"/>
          <w:lang w:val="es-MX"/>
        </w:rPr>
        <w:t>, A TRAVÉS DE MEDIOS DE COMUNICACIÓN COMPLEMENTARIOS IMPRESOS (KIOSCOS, DOVELAS, PANELES DE ANDÉN, VALLAS, PARABUSES, ESPECTACULARES, CARTELERAS Y OTROS SIMILARES).</w:t>
      </w:r>
    </w:p>
    <w:p w14:paraId="325FC72F" w14:textId="31F39E70"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lastRenderedPageBreak/>
        <w:t xml:space="preserve">La periodicidad de difusión de los mensajes se detalla igualmente en las órdenes de servicio, a que se hacen referencia en el </w:t>
      </w:r>
      <w:r w:rsidRPr="00EE05D8">
        <w:rPr>
          <w:rFonts w:ascii="Geomanist" w:hAnsi="Geomanist"/>
          <w:b/>
          <w:bCs/>
          <w:sz w:val="21"/>
          <w:szCs w:val="21"/>
          <w:lang w:val="es-MX"/>
        </w:rPr>
        <w:t xml:space="preserve">ANEXO TÉCNICO PARA LA PRESTACIÓN DEL SERVICIO DE DIFUSIÓN DE LAS CAMPAÑAS INSTITUCIONALES </w:t>
      </w:r>
      <w:r w:rsidR="00F5215A">
        <w:rPr>
          <w:rFonts w:ascii="Geomanist" w:hAnsi="Geomanist"/>
          <w:b/>
          <w:bCs/>
          <w:sz w:val="21"/>
          <w:szCs w:val="21"/>
          <w:lang w:val="es-MX"/>
        </w:rPr>
        <w:t>2026</w:t>
      </w:r>
      <w:r w:rsidRPr="00EE05D8">
        <w:rPr>
          <w:rFonts w:ascii="Geomanist" w:hAnsi="Geomanist"/>
          <w:b/>
          <w:bCs/>
          <w:sz w:val="21"/>
          <w:szCs w:val="21"/>
          <w:lang w:val="es-MX"/>
        </w:rPr>
        <w:t>, A TRAVÉS DE MEDIOS DE COMUNICACIÓN COMPLEMENTARIOS IMPRESOS (KIOSCOS, DOVELAS, PANELES DE ANDÉN, VALLAS, PARABUSES, ESPECTACULARES, CARTELERAS Y OTROS SIMILARES).</w:t>
      </w:r>
    </w:p>
    <w:p w14:paraId="1F691863" w14:textId="77777777" w:rsidR="00EE05D8" w:rsidRPr="00EE05D8" w:rsidRDefault="00EE05D8" w:rsidP="00EE05D8">
      <w:pPr>
        <w:spacing w:line="276" w:lineRule="auto"/>
        <w:jc w:val="both"/>
        <w:rPr>
          <w:rFonts w:ascii="Geomanist" w:hAnsi="Geomanist"/>
          <w:sz w:val="21"/>
          <w:szCs w:val="21"/>
          <w:lang w:val="es-MX"/>
        </w:rPr>
      </w:pPr>
    </w:p>
    <w:p w14:paraId="1DD95E4A" w14:textId="665BB6B3" w:rsidR="00EE05D8" w:rsidRPr="00EE05D8" w:rsidRDefault="00EE05D8" w:rsidP="0037680B">
      <w:pPr>
        <w:spacing w:line="276" w:lineRule="auto"/>
        <w:ind w:left="705" w:hanging="705"/>
        <w:jc w:val="both"/>
        <w:rPr>
          <w:rFonts w:ascii="Geomanist" w:hAnsi="Geomanist"/>
          <w:sz w:val="21"/>
          <w:szCs w:val="21"/>
          <w:lang w:val="es-MX"/>
        </w:rPr>
      </w:pPr>
      <w:r w:rsidRPr="00EE05D8">
        <w:rPr>
          <w:rFonts w:ascii="Geomanist" w:hAnsi="Geomanist"/>
          <w:b/>
          <w:bCs/>
          <w:sz w:val="21"/>
          <w:szCs w:val="21"/>
          <w:lang w:val="es-MX"/>
        </w:rPr>
        <w:t xml:space="preserve">c) </w:t>
      </w:r>
      <w:r w:rsidRPr="00EE05D8">
        <w:rPr>
          <w:rFonts w:ascii="Geomanist" w:hAnsi="Geomanist"/>
          <w:b/>
          <w:bCs/>
          <w:sz w:val="21"/>
          <w:szCs w:val="21"/>
          <w:lang w:val="es-MX"/>
        </w:rPr>
        <w:tab/>
        <w:t>Mecanismo de evaluación de proposiciones.</w:t>
      </w:r>
      <w:r w:rsidRPr="00EE05D8">
        <w:rPr>
          <w:rFonts w:ascii="Geomanist" w:hAnsi="Geomanist"/>
          <w:sz w:val="21"/>
          <w:szCs w:val="21"/>
          <w:lang w:val="es-MX"/>
        </w:rPr>
        <w:t xml:space="preserve"> Criterio </w:t>
      </w:r>
      <w:r w:rsidRPr="00EE05D8">
        <w:rPr>
          <w:rFonts w:ascii="Geomanist" w:hAnsi="Geomanist"/>
          <w:b/>
          <w:bCs/>
          <w:sz w:val="21"/>
          <w:szCs w:val="21"/>
          <w:lang w:val="es-MX"/>
        </w:rPr>
        <w:t>binario</w:t>
      </w:r>
      <w:r w:rsidRPr="00EE05D8">
        <w:rPr>
          <w:rFonts w:ascii="Geomanist" w:hAnsi="Geomanist"/>
          <w:sz w:val="21"/>
          <w:szCs w:val="21"/>
          <w:lang w:val="es-MX"/>
        </w:rPr>
        <w:t xml:space="preserve">, con fundamento en el artículo </w:t>
      </w:r>
      <w:r w:rsidR="00631985" w:rsidRPr="00631985">
        <w:rPr>
          <w:rFonts w:ascii="Geomanist" w:hAnsi="Geomanist"/>
          <w:sz w:val="21"/>
          <w:szCs w:val="21"/>
          <w:lang w:val="es-MX"/>
        </w:rPr>
        <w:t>47 segundo párrafo</w:t>
      </w:r>
      <w:r w:rsidRPr="00631985">
        <w:rPr>
          <w:rFonts w:ascii="Geomanist" w:hAnsi="Geomanist"/>
          <w:sz w:val="21"/>
          <w:szCs w:val="21"/>
          <w:lang w:val="es-MX"/>
        </w:rPr>
        <w:t xml:space="preserve"> de la LAASSP.</w:t>
      </w:r>
    </w:p>
    <w:p w14:paraId="37030BEF" w14:textId="77777777" w:rsidR="00EE05D8" w:rsidRPr="00EE05D8" w:rsidRDefault="00EE05D8" w:rsidP="00EE05D8">
      <w:pPr>
        <w:spacing w:line="276" w:lineRule="auto"/>
        <w:jc w:val="both"/>
        <w:rPr>
          <w:rFonts w:ascii="Geomanist" w:hAnsi="Geomanist"/>
          <w:sz w:val="21"/>
          <w:szCs w:val="21"/>
          <w:lang w:val="es-MX"/>
        </w:rPr>
      </w:pPr>
    </w:p>
    <w:p w14:paraId="0AED9B81" w14:textId="5145700F" w:rsidR="00EE05D8" w:rsidRPr="00EE05D8" w:rsidRDefault="00EE05D8" w:rsidP="0037680B">
      <w:pPr>
        <w:spacing w:line="276" w:lineRule="auto"/>
        <w:ind w:left="705" w:hanging="705"/>
        <w:jc w:val="both"/>
        <w:rPr>
          <w:rFonts w:ascii="Geomanist" w:hAnsi="Geomanist"/>
          <w:b/>
          <w:bCs/>
          <w:sz w:val="21"/>
          <w:szCs w:val="21"/>
          <w:lang w:val="es-MX"/>
        </w:rPr>
      </w:pPr>
      <w:r w:rsidRPr="00EE05D8">
        <w:rPr>
          <w:rFonts w:ascii="Geomanist" w:hAnsi="Geomanist"/>
          <w:b/>
          <w:bCs/>
          <w:sz w:val="21"/>
          <w:szCs w:val="21"/>
          <w:lang w:val="es-MX"/>
        </w:rPr>
        <w:t xml:space="preserve">d) </w:t>
      </w:r>
      <w:r w:rsidRPr="00EE05D8">
        <w:rPr>
          <w:rFonts w:ascii="Geomanist" w:hAnsi="Geomanist"/>
          <w:b/>
          <w:bCs/>
          <w:sz w:val="21"/>
          <w:szCs w:val="21"/>
          <w:lang w:val="es-MX"/>
        </w:rPr>
        <w:tab/>
        <w:t xml:space="preserve">Licencias, permisos, registros, certificados o autorizaciones. </w:t>
      </w:r>
      <w:r w:rsidRPr="00EE05D8">
        <w:rPr>
          <w:rFonts w:ascii="Geomanist" w:hAnsi="Geomanist"/>
          <w:sz w:val="21"/>
          <w:szCs w:val="21"/>
          <w:lang w:val="es-MX"/>
        </w:rPr>
        <w:t xml:space="preserve">- El proveedor deberá adjuntar los documentos con los que acredite la titularidad o el licenciamiento exclusivo de los espacios publicitarios de los medios de comunicación que se utilizarán para la prestación del servicio de difusión de las campañas institucionales </w:t>
      </w:r>
      <w:r w:rsidR="00F5215A">
        <w:rPr>
          <w:rFonts w:ascii="Geomanist" w:hAnsi="Geomanist"/>
          <w:sz w:val="21"/>
          <w:szCs w:val="21"/>
          <w:lang w:val="es-MX"/>
        </w:rPr>
        <w:t>2026</w:t>
      </w:r>
      <w:r w:rsidRPr="00EE05D8">
        <w:rPr>
          <w:rFonts w:ascii="Geomanist" w:hAnsi="Geomanist"/>
          <w:sz w:val="21"/>
          <w:szCs w:val="21"/>
          <w:lang w:val="es-MX"/>
        </w:rPr>
        <w:t>.</w:t>
      </w:r>
    </w:p>
    <w:p w14:paraId="1E797D5D" w14:textId="77777777" w:rsidR="00D32AC0" w:rsidRPr="00D32AC0" w:rsidRDefault="00D32AC0" w:rsidP="00D32AC0">
      <w:pPr>
        <w:spacing w:line="276" w:lineRule="auto"/>
        <w:jc w:val="both"/>
        <w:rPr>
          <w:rFonts w:ascii="Geomanist" w:hAnsi="Geomanist"/>
          <w:b/>
          <w:bCs/>
          <w:sz w:val="21"/>
          <w:szCs w:val="21"/>
          <w:lang w:val="es-MX"/>
        </w:rPr>
      </w:pPr>
    </w:p>
    <w:p w14:paraId="35CB2391" w14:textId="1F60A44D" w:rsidR="00D32AC0" w:rsidRPr="00D32AC0" w:rsidRDefault="00D32AC0" w:rsidP="0037680B">
      <w:pPr>
        <w:spacing w:line="276" w:lineRule="auto"/>
        <w:ind w:left="705" w:hanging="705"/>
        <w:jc w:val="both"/>
        <w:rPr>
          <w:rFonts w:ascii="Geomanist" w:hAnsi="Geomanist"/>
          <w:b/>
          <w:bCs/>
          <w:sz w:val="21"/>
          <w:szCs w:val="21"/>
          <w:lang w:val="es-MX"/>
        </w:rPr>
      </w:pPr>
      <w:r w:rsidRPr="00D32AC0">
        <w:rPr>
          <w:rFonts w:ascii="Geomanist" w:hAnsi="Geomanist"/>
          <w:b/>
          <w:bCs/>
          <w:sz w:val="21"/>
          <w:szCs w:val="21"/>
          <w:lang w:val="es-MX"/>
        </w:rPr>
        <w:t xml:space="preserve">e) </w:t>
      </w:r>
      <w:r w:rsidR="0037680B">
        <w:rPr>
          <w:rFonts w:ascii="Geomanist" w:hAnsi="Geomanist"/>
          <w:b/>
          <w:bCs/>
          <w:sz w:val="21"/>
          <w:szCs w:val="21"/>
          <w:lang w:val="es-MX"/>
        </w:rPr>
        <w:tab/>
      </w:r>
      <w:r w:rsidRPr="00D32AC0">
        <w:rPr>
          <w:rFonts w:ascii="Geomanist" w:hAnsi="Geomanist"/>
          <w:b/>
          <w:bCs/>
          <w:sz w:val="21"/>
          <w:szCs w:val="21"/>
          <w:lang w:val="es-MX"/>
        </w:rPr>
        <w:t xml:space="preserve">Documentación técnica necesaria como pueden ser: folletos, catálogos, fotografías, manuales entre otros, en caso de que se requieran para comprobar sus especificaciones. </w:t>
      </w:r>
      <w:r w:rsidRPr="00D32AC0">
        <w:rPr>
          <w:rFonts w:ascii="Geomanist" w:hAnsi="Geomanist"/>
          <w:sz w:val="21"/>
          <w:szCs w:val="21"/>
          <w:lang w:val="es-MX"/>
        </w:rPr>
        <w:t>No aplica.</w:t>
      </w:r>
    </w:p>
    <w:p w14:paraId="4D202FCA" w14:textId="77777777" w:rsidR="00D32AC0" w:rsidRPr="00D32AC0" w:rsidRDefault="00D32AC0" w:rsidP="00D32AC0">
      <w:pPr>
        <w:spacing w:line="276" w:lineRule="auto"/>
        <w:jc w:val="both"/>
        <w:rPr>
          <w:rFonts w:ascii="Geomanist" w:hAnsi="Geomanist"/>
          <w:b/>
          <w:bCs/>
          <w:sz w:val="21"/>
          <w:szCs w:val="21"/>
          <w:lang w:val="es-MX"/>
        </w:rPr>
      </w:pPr>
    </w:p>
    <w:p w14:paraId="66D64879" w14:textId="598BD7E4" w:rsidR="00D32AC0" w:rsidRPr="00D32AC0" w:rsidRDefault="00D32AC0" w:rsidP="0037680B">
      <w:pPr>
        <w:spacing w:line="276" w:lineRule="auto"/>
        <w:ind w:left="705" w:hanging="705"/>
        <w:jc w:val="both"/>
        <w:rPr>
          <w:rFonts w:ascii="Geomanist" w:hAnsi="Geomanist"/>
          <w:b/>
          <w:bCs/>
          <w:sz w:val="21"/>
          <w:szCs w:val="21"/>
          <w:lang w:val="es-MX"/>
        </w:rPr>
      </w:pPr>
      <w:r w:rsidRPr="00D32AC0">
        <w:rPr>
          <w:rFonts w:ascii="Geomanist" w:hAnsi="Geomanist"/>
          <w:b/>
          <w:bCs/>
          <w:sz w:val="21"/>
          <w:szCs w:val="21"/>
          <w:lang w:val="es-MX"/>
        </w:rPr>
        <w:t xml:space="preserve">f) </w:t>
      </w:r>
      <w:r w:rsidR="0037680B">
        <w:rPr>
          <w:rFonts w:ascii="Geomanist" w:hAnsi="Geomanist"/>
          <w:b/>
          <w:bCs/>
          <w:sz w:val="21"/>
          <w:szCs w:val="21"/>
          <w:lang w:val="es-MX"/>
        </w:rPr>
        <w:tab/>
      </w:r>
      <w:r w:rsidRPr="00D32AC0">
        <w:rPr>
          <w:rFonts w:ascii="Geomanist" w:hAnsi="Geomanist"/>
          <w:b/>
          <w:bCs/>
          <w:sz w:val="21"/>
          <w:szCs w:val="21"/>
          <w:lang w:val="es-MX"/>
        </w:rPr>
        <w:t xml:space="preserve">Visitas a las instalaciones institucionales, donde se suministrarán o colocarán los bienes o donde se prestarán los servicios, en su caso. </w:t>
      </w:r>
      <w:r w:rsidRPr="00D32AC0">
        <w:rPr>
          <w:rFonts w:ascii="Geomanist" w:hAnsi="Geomanist"/>
          <w:sz w:val="21"/>
          <w:szCs w:val="21"/>
          <w:lang w:val="es-MX"/>
        </w:rPr>
        <w:t>No aplica.</w:t>
      </w:r>
    </w:p>
    <w:p w14:paraId="45A73FF8" w14:textId="77777777" w:rsidR="00D32AC0" w:rsidRPr="00D32AC0" w:rsidRDefault="00D32AC0" w:rsidP="00D32AC0">
      <w:pPr>
        <w:spacing w:line="276" w:lineRule="auto"/>
        <w:jc w:val="both"/>
        <w:rPr>
          <w:rFonts w:ascii="Geomanist" w:hAnsi="Geomanist"/>
          <w:b/>
          <w:bCs/>
          <w:sz w:val="21"/>
          <w:szCs w:val="21"/>
          <w:lang w:val="es-MX"/>
        </w:rPr>
      </w:pPr>
    </w:p>
    <w:p w14:paraId="3C4DEA28" w14:textId="64E62F53" w:rsidR="00D32AC0" w:rsidRPr="00D32AC0" w:rsidRDefault="00D32AC0" w:rsidP="0037680B">
      <w:pPr>
        <w:spacing w:line="276" w:lineRule="auto"/>
        <w:ind w:left="705" w:hanging="705"/>
        <w:jc w:val="both"/>
        <w:rPr>
          <w:rFonts w:ascii="Geomanist" w:hAnsi="Geomanist"/>
          <w:b/>
          <w:bCs/>
          <w:sz w:val="21"/>
          <w:szCs w:val="21"/>
          <w:lang w:val="es-MX"/>
        </w:rPr>
      </w:pPr>
      <w:r w:rsidRPr="00D32AC0">
        <w:rPr>
          <w:rFonts w:ascii="Geomanist" w:hAnsi="Geomanist"/>
          <w:b/>
          <w:bCs/>
          <w:sz w:val="21"/>
          <w:szCs w:val="21"/>
          <w:lang w:val="es-MX"/>
        </w:rPr>
        <w:t xml:space="preserve">g) </w:t>
      </w:r>
      <w:r w:rsidR="0037680B">
        <w:rPr>
          <w:rFonts w:ascii="Geomanist" w:hAnsi="Geomanist"/>
          <w:b/>
          <w:bCs/>
          <w:sz w:val="21"/>
          <w:szCs w:val="21"/>
          <w:lang w:val="es-MX"/>
        </w:rPr>
        <w:tab/>
      </w:r>
      <w:r w:rsidRPr="00D32AC0">
        <w:rPr>
          <w:rFonts w:ascii="Geomanist" w:hAnsi="Geomanist"/>
          <w:b/>
          <w:bCs/>
          <w:sz w:val="21"/>
          <w:szCs w:val="21"/>
          <w:lang w:val="es-MX"/>
        </w:rPr>
        <w:t xml:space="preserve">Si se requiere efectuar visitas a las instalaciones de los licitantes. Se deberá precisar puntualmente, el objeto y el resultado que se espera obtener de la misma, a efecto de que se plasme en la convocatoria. </w:t>
      </w:r>
      <w:r w:rsidRPr="00D32AC0">
        <w:rPr>
          <w:rFonts w:ascii="Geomanist" w:hAnsi="Geomanist"/>
          <w:sz w:val="21"/>
          <w:szCs w:val="21"/>
          <w:lang w:val="es-MX"/>
        </w:rPr>
        <w:t>No aplica.</w:t>
      </w:r>
    </w:p>
    <w:p w14:paraId="141CCAF0" w14:textId="77777777" w:rsidR="00D32AC0" w:rsidRPr="00D32AC0" w:rsidRDefault="00D32AC0" w:rsidP="00D32AC0">
      <w:pPr>
        <w:spacing w:line="276" w:lineRule="auto"/>
        <w:jc w:val="both"/>
        <w:rPr>
          <w:rFonts w:ascii="Geomanist" w:hAnsi="Geomanist"/>
          <w:b/>
          <w:bCs/>
          <w:sz w:val="21"/>
          <w:szCs w:val="21"/>
          <w:lang w:val="es-MX"/>
        </w:rPr>
      </w:pPr>
    </w:p>
    <w:p w14:paraId="2FA21AD3" w14:textId="6DB279C3" w:rsidR="00D32AC0" w:rsidRPr="00D32AC0" w:rsidRDefault="00D32AC0" w:rsidP="0037680B">
      <w:pPr>
        <w:spacing w:line="276" w:lineRule="auto"/>
        <w:ind w:left="705" w:hanging="705"/>
        <w:jc w:val="both"/>
        <w:rPr>
          <w:rFonts w:ascii="Geomanist" w:hAnsi="Geomanist"/>
          <w:b/>
          <w:bCs/>
          <w:sz w:val="21"/>
          <w:szCs w:val="21"/>
          <w:lang w:val="es-MX"/>
        </w:rPr>
      </w:pPr>
      <w:r w:rsidRPr="00D32AC0">
        <w:rPr>
          <w:rFonts w:ascii="Geomanist" w:hAnsi="Geomanist"/>
          <w:b/>
          <w:bCs/>
          <w:sz w:val="21"/>
          <w:szCs w:val="21"/>
          <w:lang w:val="es-MX"/>
        </w:rPr>
        <w:t xml:space="preserve">h) </w:t>
      </w:r>
      <w:r w:rsidR="0037680B">
        <w:rPr>
          <w:rFonts w:ascii="Geomanist" w:hAnsi="Geomanist"/>
          <w:b/>
          <w:bCs/>
          <w:sz w:val="21"/>
          <w:szCs w:val="21"/>
          <w:lang w:val="es-MX"/>
        </w:rPr>
        <w:tab/>
      </w:r>
      <w:r w:rsidRPr="00D32AC0">
        <w:rPr>
          <w:rFonts w:ascii="Geomanist" w:hAnsi="Geomanist"/>
          <w:b/>
          <w:bCs/>
          <w:sz w:val="21"/>
          <w:szCs w:val="21"/>
          <w:lang w:val="es-MX"/>
        </w:rPr>
        <w:t xml:space="preserve">Las penas convencionales y deducciones al pago de conformidad con lo dispuesto en el lineamiento 5.5.8 de las presentes POBALINES. </w:t>
      </w:r>
    </w:p>
    <w:p w14:paraId="78EBEEFC" w14:textId="77777777" w:rsidR="00D32AC0" w:rsidRPr="00D32AC0" w:rsidRDefault="00D32AC0" w:rsidP="00D32AC0">
      <w:pPr>
        <w:spacing w:line="276" w:lineRule="auto"/>
        <w:jc w:val="both"/>
        <w:rPr>
          <w:rFonts w:ascii="Geomanist" w:hAnsi="Geomanist"/>
          <w:b/>
          <w:bCs/>
          <w:sz w:val="21"/>
          <w:szCs w:val="21"/>
          <w:lang w:val="es-MX"/>
        </w:rPr>
      </w:pPr>
    </w:p>
    <w:p w14:paraId="01710DF6" w14:textId="5574FE0D" w:rsidR="00EE05D8" w:rsidRPr="005E536D" w:rsidRDefault="00CA59F0" w:rsidP="00EE05D8">
      <w:pPr>
        <w:spacing w:line="276" w:lineRule="auto"/>
        <w:jc w:val="both"/>
        <w:rPr>
          <w:rFonts w:ascii="Geomanist" w:hAnsi="Geomanist"/>
          <w:b/>
          <w:bCs/>
          <w:sz w:val="21"/>
          <w:szCs w:val="21"/>
          <w:lang w:val="es-MX"/>
        </w:rPr>
      </w:pPr>
      <w:r w:rsidRPr="005E536D">
        <w:rPr>
          <w:rFonts w:ascii="Geomanist" w:hAnsi="Geomanist"/>
          <w:b/>
          <w:bCs/>
          <w:sz w:val="21"/>
          <w:szCs w:val="21"/>
          <w:lang w:val="es-MX"/>
        </w:rPr>
        <w:t xml:space="preserve">h.1) </w:t>
      </w:r>
      <w:r w:rsidR="00EE05D8" w:rsidRPr="005E536D">
        <w:rPr>
          <w:rFonts w:ascii="Geomanist" w:hAnsi="Geomanist"/>
          <w:b/>
          <w:bCs/>
          <w:sz w:val="21"/>
          <w:szCs w:val="21"/>
          <w:lang w:val="es-MX"/>
        </w:rPr>
        <w:t>Penas Convencionales </w:t>
      </w:r>
    </w:p>
    <w:p w14:paraId="69314C2A" w14:textId="77777777" w:rsidR="00EE05D8" w:rsidRPr="005E536D" w:rsidRDefault="00EE05D8" w:rsidP="00EE05D8">
      <w:pPr>
        <w:spacing w:line="276" w:lineRule="auto"/>
        <w:jc w:val="both"/>
        <w:rPr>
          <w:rFonts w:ascii="Geomanist" w:hAnsi="Geomanist"/>
          <w:sz w:val="21"/>
          <w:szCs w:val="21"/>
          <w:lang w:val="es-MX"/>
        </w:rPr>
      </w:pPr>
    </w:p>
    <w:p w14:paraId="2343D122" w14:textId="77777777" w:rsidR="00EE05D8" w:rsidRPr="005E536D" w:rsidRDefault="00EE05D8" w:rsidP="00EE05D8">
      <w:pPr>
        <w:spacing w:line="276" w:lineRule="auto"/>
        <w:jc w:val="both"/>
        <w:rPr>
          <w:rFonts w:ascii="Geomanist" w:hAnsi="Geomanist"/>
          <w:sz w:val="21"/>
          <w:szCs w:val="21"/>
          <w:lang w:val="es-MX"/>
        </w:rPr>
      </w:pPr>
      <w:r w:rsidRPr="005E536D">
        <w:rPr>
          <w:rFonts w:ascii="Geomanist" w:hAnsi="Geomanist"/>
          <w:sz w:val="21"/>
          <w:szCs w:val="21"/>
          <w:lang w:val="es-MX"/>
        </w:rPr>
        <w:t>El administrador de los contratos será el responsable de calcular las penas convencionales señaladas en el numeral 5.5.8 y demás correlativos de las Políticas, Bases y Lineamientos en materia de Adquisiciones, Arrendamientos y Servicios del Instituto Mexicano del Seguro Social, en caso de atraso en la entrega de testigos. El monto de la pena ascenderá al 2.5% del monto de lo incumplido.</w:t>
      </w:r>
    </w:p>
    <w:p w14:paraId="2AC2B888" w14:textId="77777777" w:rsidR="00EE05D8" w:rsidRDefault="00EE05D8" w:rsidP="00EE05D8">
      <w:pPr>
        <w:spacing w:line="276" w:lineRule="auto"/>
        <w:jc w:val="both"/>
        <w:rPr>
          <w:rFonts w:ascii="Geomanist" w:hAnsi="Geomanist"/>
          <w:sz w:val="21"/>
          <w:szCs w:val="21"/>
          <w:lang w:val="es-MX"/>
        </w:rPr>
      </w:pPr>
    </w:p>
    <w:p w14:paraId="7E7EDDD5" w14:textId="77777777" w:rsidR="00EE05D8" w:rsidRDefault="00EE05D8" w:rsidP="00EE05D8">
      <w:pPr>
        <w:spacing w:line="276" w:lineRule="auto"/>
        <w:jc w:val="both"/>
        <w:rPr>
          <w:rFonts w:ascii="Geomanist" w:hAnsi="Geomanist"/>
          <w:sz w:val="21"/>
          <w:szCs w:val="21"/>
          <w:lang w:val="es-MX"/>
        </w:rPr>
      </w:pPr>
    </w:p>
    <w:p w14:paraId="00EBF312" w14:textId="77777777" w:rsidR="00EE05D8" w:rsidRDefault="00EE05D8" w:rsidP="00EE05D8">
      <w:pPr>
        <w:spacing w:line="276" w:lineRule="auto"/>
        <w:jc w:val="both"/>
        <w:rPr>
          <w:rFonts w:ascii="Geomanist" w:hAnsi="Geomanist"/>
          <w:sz w:val="21"/>
          <w:szCs w:val="21"/>
          <w:lang w:val="es-MX"/>
        </w:rPr>
      </w:pPr>
    </w:p>
    <w:p w14:paraId="725559E8" w14:textId="77777777" w:rsidR="00EE05D8" w:rsidRDefault="00EE05D8" w:rsidP="00EE05D8">
      <w:pPr>
        <w:spacing w:line="276" w:lineRule="auto"/>
        <w:jc w:val="both"/>
        <w:rPr>
          <w:rFonts w:ascii="Geomanist" w:hAnsi="Geomanist"/>
          <w:sz w:val="21"/>
          <w:szCs w:val="21"/>
          <w:lang w:val="es-MX"/>
        </w:rPr>
      </w:pPr>
    </w:p>
    <w:tbl>
      <w:tblPr>
        <w:tblStyle w:val="Tablaconcuadrcula"/>
        <w:tblW w:w="9781" w:type="dxa"/>
        <w:tblInd w:w="-147" w:type="dxa"/>
        <w:tblLook w:val="04A0" w:firstRow="1" w:lastRow="0" w:firstColumn="1" w:lastColumn="0" w:noHBand="0" w:noVBand="1"/>
      </w:tblPr>
      <w:tblGrid>
        <w:gridCol w:w="2694"/>
        <w:gridCol w:w="2268"/>
        <w:gridCol w:w="2551"/>
        <w:gridCol w:w="2268"/>
      </w:tblGrid>
      <w:tr w:rsidR="00EE05D8" w:rsidRPr="00EE05D8" w14:paraId="587EBABC" w14:textId="77777777" w:rsidTr="005342AD">
        <w:trPr>
          <w:trHeight w:val="224"/>
        </w:trPr>
        <w:tc>
          <w:tcPr>
            <w:tcW w:w="2694" w:type="dxa"/>
            <w:hideMark/>
          </w:tcPr>
          <w:p w14:paraId="7BBADD8A" w14:textId="77777777" w:rsidR="00EE05D8" w:rsidRPr="00EE05D8" w:rsidRDefault="00EE05D8" w:rsidP="00EE05D8">
            <w:pPr>
              <w:jc w:val="both"/>
              <w:rPr>
                <w:rFonts w:ascii="Geomanist" w:hAnsi="Geomanist"/>
                <w:b/>
                <w:bCs/>
                <w:sz w:val="21"/>
                <w:szCs w:val="21"/>
                <w:lang w:val="es-MX"/>
              </w:rPr>
            </w:pPr>
            <w:r w:rsidRPr="00EE05D8">
              <w:rPr>
                <w:rFonts w:ascii="Geomanist" w:hAnsi="Geomanist"/>
                <w:b/>
                <w:bCs/>
                <w:sz w:val="21"/>
                <w:szCs w:val="21"/>
                <w:lang w:val="es-MX"/>
              </w:rPr>
              <w:lastRenderedPageBreak/>
              <w:t>Producto</w:t>
            </w:r>
          </w:p>
        </w:tc>
        <w:tc>
          <w:tcPr>
            <w:tcW w:w="2268" w:type="dxa"/>
            <w:hideMark/>
          </w:tcPr>
          <w:p w14:paraId="4AD1EF51" w14:textId="77777777" w:rsidR="00EE05D8" w:rsidRPr="00EE05D8" w:rsidRDefault="00EE05D8" w:rsidP="00EE05D8">
            <w:pPr>
              <w:spacing w:line="360" w:lineRule="auto"/>
              <w:jc w:val="both"/>
              <w:rPr>
                <w:rFonts w:ascii="Geomanist" w:hAnsi="Geomanist"/>
                <w:b/>
                <w:bCs/>
                <w:sz w:val="21"/>
                <w:szCs w:val="21"/>
                <w:lang w:val="es-MX"/>
              </w:rPr>
            </w:pPr>
            <w:r w:rsidRPr="00EE05D8">
              <w:rPr>
                <w:rFonts w:ascii="Geomanist" w:hAnsi="Geomanist"/>
                <w:b/>
                <w:bCs/>
                <w:sz w:val="21"/>
                <w:szCs w:val="21"/>
                <w:lang w:val="es-MX"/>
              </w:rPr>
              <w:t>Horario</w:t>
            </w:r>
          </w:p>
        </w:tc>
        <w:tc>
          <w:tcPr>
            <w:tcW w:w="2551" w:type="dxa"/>
            <w:hideMark/>
          </w:tcPr>
          <w:p w14:paraId="72D6DDC0" w14:textId="77777777" w:rsidR="00EE05D8" w:rsidRPr="00EE05D8" w:rsidRDefault="00EE05D8" w:rsidP="00EE05D8">
            <w:pPr>
              <w:spacing w:line="360" w:lineRule="auto"/>
              <w:jc w:val="both"/>
              <w:rPr>
                <w:rFonts w:ascii="Geomanist" w:hAnsi="Geomanist"/>
                <w:b/>
                <w:bCs/>
                <w:sz w:val="21"/>
                <w:szCs w:val="21"/>
                <w:lang w:val="es-MX"/>
              </w:rPr>
            </w:pPr>
            <w:r w:rsidRPr="00EE05D8">
              <w:rPr>
                <w:rFonts w:ascii="Geomanist" w:hAnsi="Geomanist"/>
                <w:b/>
                <w:bCs/>
                <w:sz w:val="21"/>
                <w:szCs w:val="21"/>
                <w:lang w:val="es-MX"/>
              </w:rPr>
              <w:t>Falta</w:t>
            </w:r>
          </w:p>
        </w:tc>
        <w:tc>
          <w:tcPr>
            <w:tcW w:w="2268" w:type="dxa"/>
            <w:hideMark/>
          </w:tcPr>
          <w:p w14:paraId="3805FB19" w14:textId="77777777" w:rsidR="00EE05D8" w:rsidRPr="00EE05D8" w:rsidRDefault="00EE05D8" w:rsidP="00EE05D8">
            <w:pPr>
              <w:spacing w:line="360" w:lineRule="auto"/>
              <w:jc w:val="both"/>
              <w:rPr>
                <w:rFonts w:ascii="Geomanist" w:hAnsi="Geomanist"/>
                <w:b/>
                <w:bCs/>
                <w:sz w:val="21"/>
                <w:szCs w:val="21"/>
                <w:lang w:val="es-MX"/>
              </w:rPr>
            </w:pPr>
            <w:r w:rsidRPr="00EE05D8">
              <w:rPr>
                <w:rFonts w:ascii="Geomanist" w:hAnsi="Geomanist"/>
                <w:b/>
                <w:bCs/>
                <w:sz w:val="21"/>
                <w:szCs w:val="21"/>
                <w:lang w:val="es-MX"/>
              </w:rPr>
              <w:t>Sanción</w:t>
            </w:r>
          </w:p>
        </w:tc>
      </w:tr>
      <w:tr w:rsidR="00EE05D8" w:rsidRPr="00EE05D8" w14:paraId="6DA65AF4" w14:textId="77777777" w:rsidTr="005342AD">
        <w:trPr>
          <w:trHeight w:val="1707"/>
        </w:trPr>
        <w:tc>
          <w:tcPr>
            <w:tcW w:w="2694" w:type="dxa"/>
            <w:hideMark/>
          </w:tcPr>
          <w:p w14:paraId="10CE912C" w14:textId="77777777" w:rsidR="00EE05D8" w:rsidRPr="00EE05D8" w:rsidRDefault="00EE05D8" w:rsidP="00EE05D8">
            <w:pPr>
              <w:jc w:val="both"/>
              <w:rPr>
                <w:rFonts w:ascii="Geomanist" w:hAnsi="Geomanist"/>
                <w:sz w:val="21"/>
                <w:szCs w:val="21"/>
                <w:lang w:val="es-MX"/>
              </w:rPr>
            </w:pPr>
            <w:r w:rsidRPr="00EE05D8">
              <w:rPr>
                <w:rFonts w:ascii="Geomanist" w:hAnsi="Geomanist"/>
                <w:sz w:val="21"/>
                <w:szCs w:val="21"/>
                <w:lang w:val="es-MX"/>
              </w:rPr>
              <w:t>3.1 EL PROVEEDOR, a fin de acreditar el cumplimiento de sus obligaciones contractuales, se obliga a entregar los documentos y testigos derivados de la orden para su revisión dentro de los cinco días hábiles posteriores al vencimiento de las órdenes de servicio. (ANEXO TÉCNICO APARTADO 3.- Productos entregables).</w:t>
            </w:r>
          </w:p>
        </w:tc>
        <w:tc>
          <w:tcPr>
            <w:tcW w:w="2268" w:type="dxa"/>
            <w:hideMark/>
          </w:tcPr>
          <w:p w14:paraId="5FA3F46A" w14:textId="77777777" w:rsidR="00EE05D8" w:rsidRPr="00EE05D8" w:rsidRDefault="00EE05D8" w:rsidP="00EE05D8">
            <w:pPr>
              <w:jc w:val="both"/>
              <w:rPr>
                <w:rFonts w:ascii="Geomanist" w:hAnsi="Geomanist"/>
                <w:sz w:val="21"/>
                <w:szCs w:val="21"/>
                <w:lang w:val="es-MX"/>
              </w:rPr>
            </w:pPr>
            <w:r w:rsidRPr="00EE05D8">
              <w:rPr>
                <w:rFonts w:ascii="Geomanist" w:hAnsi="Geomanist"/>
                <w:sz w:val="21"/>
                <w:szCs w:val="21"/>
                <w:lang w:val="es-MX"/>
              </w:rPr>
              <w:t>De lunes a viernes de las 9:00 a las 18:00 horas</w:t>
            </w:r>
          </w:p>
        </w:tc>
        <w:tc>
          <w:tcPr>
            <w:tcW w:w="2551" w:type="dxa"/>
            <w:hideMark/>
          </w:tcPr>
          <w:p w14:paraId="2FE45F86" w14:textId="77777777" w:rsidR="00EE05D8" w:rsidRPr="00EE05D8" w:rsidRDefault="00EE05D8" w:rsidP="00EE05D8">
            <w:pPr>
              <w:jc w:val="both"/>
              <w:rPr>
                <w:rFonts w:ascii="Geomanist" w:hAnsi="Geomanist"/>
                <w:sz w:val="21"/>
                <w:szCs w:val="21"/>
                <w:lang w:val="es-MX"/>
              </w:rPr>
            </w:pPr>
            <w:r w:rsidRPr="00EE05D8">
              <w:rPr>
                <w:rFonts w:ascii="Geomanist" w:hAnsi="Geomanist"/>
                <w:sz w:val="21"/>
                <w:szCs w:val="21"/>
                <w:lang w:val="es-MX"/>
              </w:rPr>
              <w:t>EL PROVEEDOR entrega sus testigos y documentos para revisión con posterioridad al plazo de cinco días hábiles al vencimiento de las órdenes de servicio.</w:t>
            </w:r>
          </w:p>
        </w:tc>
        <w:tc>
          <w:tcPr>
            <w:tcW w:w="2268" w:type="dxa"/>
            <w:hideMark/>
          </w:tcPr>
          <w:p w14:paraId="6731696D" w14:textId="77777777" w:rsidR="00EE05D8" w:rsidRPr="00EE05D8" w:rsidRDefault="00EE05D8" w:rsidP="00EE05D8">
            <w:pPr>
              <w:jc w:val="both"/>
              <w:rPr>
                <w:rFonts w:ascii="Geomanist" w:hAnsi="Geomanist"/>
                <w:sz w:val="21"/>
                <w:szCs w:val="21"/>
                <w:lang w:val="es-MX"/>
              </w:rPr>
            </w:pPr>
            <w:r w:rsidRPr="00EE05D8">
              <w:rPr>
                <w:rFonts w:ascii="Geomanist" w:hAnsi="Geomanist"/>
                <w:sz w:val="21"/>
                <w:szCs w:val="21"/>
                <w:lang w:val="es-MX"/>
              </w:rPr>
              <w:t>Se establece una pena convencional igual a 2.5% del valor de la orden de servicio por cada día hábil de atraso sin IVA.</w:t>
            </w:r>
          </w:p>
        </w:tc>
      </w:tr>
    </w:tbl>
    <w:p w14:paraId="21FC331C" w14:textId="77777777" w:rsidR="00EE05D8" w:rsidRPr="00EE05D8" w:rsidRDefault="00EE05D8" w:rsidP="00EE05D8">
      <w:pPr>
        <w:spacing w:line="360" w:lineRule="auto"/>
        <w:jc w:val="both"/>
        <w:rPr>
          <w:rFonts w:ascii="Geomanist" w:hAnsi="Geomanist"/>
          <w:b/>
          <w:bCs/>
          <w:sz w:val="21"/>
          <w:szCs w:val="21"/>
          <w:lang w:val="es-MX"/>
        </w:rPr>
      </w:pPr>
    </w:p>
    <w:p w14:paraId="63A6834C"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La pena convencional se calculará de acuerdo con los siguientes términos y condiciones expresados en la fórmula que se detalla a continuación.</w:t>
      </w:r>
    </w:p>
    <w:p w14:paraId="0607E922" w14:textId="77777777" w:rsidR="00EE05D8" w:rsidRPr="00EE05D8" w:rsidRDefault="00EE05D8" w:rsidP="00EE05D8">
      <w:pPr>
        <w:spacing w:line="276" w:lineRule="auto"/>
        <w:jc w:val="both"/>
        <w:rPr>
          <w:rFonts w:ascii="Geomanist" w:hAnsi="Geomanist"/>
          <w:sz w:val="21"/>
          <w:szCs w:val="21"/>
          <w:lang w:val="es-MX"/>
        </w:rPr>
      </w:pPr>
    </w:p>
    <w:p w14:paraId="78876DC1" w14:textId="77777777" w:rsidR="00EE05D8" w:rsidRPr="00EE05D8" w:rsidRDefault="00EE05D8" w:rsidP="00EE05D8">
      <w:pPr>
        <w:spacing w:line="276" w:lineRule="auto"/>
        <w:jc w:val="both"/>
        <w:rPr>
          <w:rFonts w:ascii="Geomanist" w:hAnsi="Geomanist"/>
          <w:sz w:val="21"/>
          <w:szCs w:val="21"/>
          <w:lang w:val="es-MX"/>
        </w:rPr>
      </w:pPr>
      <w:proofErr w:type="spellStart"/>
      <w:r w:rsidRPr="00EE05D8">
        <w:rPr>
          <w:rFonts w:ascii="Geomanist" w:hAnsi="Geomanist"/>
          <w:b/>
          <w:bCs/>
          <w:sz w:val="21"/>
          <w:szCs w:val="21"/>
          <w:lang w:val="es-MX"/>
        </w:rPr>
        <w:t>Pca</w:t>
      </w:r>
      <w:proofErr w:type="spellEnd"/>
      <w:r w:rsidRPr="00EE05D8">
        <w:rPr>
          <w:rFonts w:ascii="Geomanist" w:hAnsi="Geomanist"/>
          <w:b/>
          <w:bCs/>
          <w:sz w:val="21"/>
          <w:szCs w:val="21"/>
          <w:lang w:val="es-MX"/>
        </w:rPr>
        <w:t xml:space="preserve">= %d x </w:t>
      </w:r>
      <w:proofErr w:type="spellStart"/>
      <w:r w:rsidRPr="00EE05D8">
        <w:rPr>
          <w:rFonts w:ascii="Geomanist" w:hAnsi="Geomanist"/>
          <w:b/>
          <w:bCs/>
          <w:sz w:val="21"/>
          <w:szCs w:val="21"/>
          <w:lang w:val="es-MX"/>
        </w:rPr>
        <w:t>nda</w:t>
      </w:r>
      <w:proofErr w:type="spellEnd"/>
      <w:r w:rsidRPr="00EE05D8">
        <w:rPr>
          <w:rFonts w:ascii="Geomanist" w:hAnsi="Geomanist"/>
          <w:b/>
          <w:bCs/>
          <w:sz w:val="21"/>
          <w:szCs w:val="21"/>
          <w:lang w:val="es-MX"/>
        </w:rPr>
        <w:t xml:space="preserve"> x </w:t>
      </w:r>
      <w:proofErr w:type="spellStart"/>
      <w:r w:rsidRPr="00EE05D8">
        <w:rPr>
          <w:rFonts w:ascii="Geomanist" w:hAnsi="Geomanist"/>
          <w:b/>
          <w:bCs/>
          <w:sz w:val="21"/>
          <w:szCs w:val="21"/>
          <w:lang w:val="es-MX"/>
        </w:rPr>
        <w:t>vdot</w:t>
      </w:r>
      <w:proofErr w:type="spellEnd"/>
    </w:p>
    <w:p w14:paraId="7E8A6BFD"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Donde </w:t>
      </w:r>
    </w:p>
    <w:p w14:paraId="1F5DB1E3" w14:textId="77777777" w:rsidR="00EE05D8" w:rsidRPr="00EE05D8" w:rsidRDefault="00EE05D8" w:rsidP="00EE05D8">
      <w:pPr>
        <w:spacing w:line="276" w:lineRule="auto"/>
        <w:jc w:val="both"/>
        <w:rPr>
          <w:rFonts w:ascii="Geomanist" w:hAnsi="Geomanist"/>
          <w:sz w:val="21"/>
          <w:szCs w:val="21"/>
          <w:lang w:val="es-MX"/>
        </w:rPr>
      </w:pPr>
      <w:proofErr w:type="spellStart"/>
      <w:r w:rsidRPr="00EE05D8">
        <w:rPr>
          <w:rFonts w:ascii="Geomanist" w:hAnsi="Geomanist"/>
          <w:b/>
          <w:bCs/>
          <w:sz w:val="21"/>
          <w:szCs w:val="21"/>
          <w:lang w:val="es-MX"/>
        </w:rPr>
        <w:t>Pca</w:t>
      </w:r>
      <w:proofErr w:type="spellEnd"/>
      <w:r w:rsidRPr="00EE05D8">
        <w:rPr>
          <w:rFonts w:ascii="Geomanist" w:hAnsi="Geomanist"/>
          <w:b/>
          <w:bCs/>
          <w:sz w:val="21"/>
          <w:szCs w:val="21"/>
          <w:lang w:val="es-MX"/>
        </w:rPr>
        <w:t>=</w:t>
      </w:r>
      <w:r w:rsidRPr="00EE05D8">
        <w:rPr>
          <w:rFonts w:ascii="Geomanist" w:hAnsi="Geomanist"/>
          <w:sz w:val="21"/>
          <w:szCs w:val="21"/>
          <w:lang w:val="es-MX"/>
        </w:rPr>
        <w:t xml:space="preserve"> Pena Convencional Aplicable</w:t>
      </w:r>
    </w:p>
    <w:p w14:paraId="687E175F"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b/>
          <w:bCs/>
          <w:sz w:val="21"/>
          <w:szCs w:val="21"/>
          <w:lang w:val="es-MX"/>
        </w:rPr>
        <w:t>%d=</w:t>
      </w:r>
      <w:r w:rsidRPr="00EE05D8">
        <w:rPr>
          <w:rFonts w:ascii="Geomanist" w:hAnsi="Geomanist"/>
          <w:sz w:val="21"/>
          <w:szCs w:val="21"/>
          <w:lang w:val="es-MX"/>
        </w:rPr>
        <w:t xml:space="preserve"> porcentaje determinado en la convocatoria, invitación, cotización contrato o pedido por cada día de atraso en la entrega de testigos.</w:t>
      </w:r>
    </w:p>
    <w:p w14:paraId="48538369" w14:textId="77777777" w:rsidR="00EE05D8" w:rsidRPr="00EE05D8" w:rsidRDefault="00EE05D8" w:rsidP="00EE05D8">
      <w:pPr>
        <w:spacing w:line="276" w:lineRule="auto"/>
        <w:jc w:val="both"/>
        <w:rPr>
          <w:rFonts w:ascii="Geomanist" w:hAnsi="Geomanist"/>
          <w:sz w:val="21"/>
          <w:szCs w:val="21"/>
          <w:lang w:val="es-MX"/>
        </w:rPr>
      </w:pPr>
      <w:proofErr w:type="spellStart"/>
      <w:r w:rsidRPr="00EE05D8">
        <w:rPr>
          <w:rFonts w:ascii="Geomanist" w:hAnsi="Geomanist"/>
          <w:b/>
          <w:bCs/>
          <w:sz w:val="21"/>
          <w:szCs w:val="21"/>
          <w:lang w:val="es-MX"/>
        </w:rPr>
        <w:t>nda</w:t>
      </w:r>
      <w:proofErr w:type="spellEnd"/>
      <w:r w:rsidRPr="00EE05D8">
        <w:rPr>
          <w:rFonts w:ascii="Geomanist" w:hAnsi="Geomanist"/>
          <w:b/>
          <w:bCs/>
          <w:sz w:val="21"/>
          <w:szCs w:val="21"/>
          <w:lang w:val="es-MX"/>
        </w:rPr>
        <w:t xml:space="preserve">= </w:t>
      </w:r>
      <w:r w:rsidRPr="00EE05D8">
        <w:rPr>
          <w:rFonts w:ascii="Geomanist" w:hAnsi="Geomanist"/>
          <w:sz w:val="21"/>
          <w:szCs w:val="21"/>
          <w:lang w:val="es-MX"/>
        </w:rPr>
        <w:t>Número de días hábiles de atraso posteriores al vencimiento de las órdenes de servicio.   </w:t>
      </w:r>
    </w:p>
    <w:p w14:paraId="46E51C33" w14:textId="77777777" w:rsidR="00EE05D8" w:rsidRPr="00EE05D8" w:rsidRDefault="00EE05D8" w:rsidP="00EE05D8">
      <w:pPr>
        <w:spacing w:line="276" w:lineRule="auto"/>
        <w:jc w:val="both"/>
        <w:rPr>
          <w:rFonts w:ascii="Geomanist" w:hAnsi="Geomanist"/>
          <w:sz w:val="21"/>
          <w:szCs w:val="21"/>
          <w:lang w:val="es-MX"/>
        </w:rPr>
      </w:pPr>
      <w:proofErr w:type="spellStart"/>
      <w:r w:rsidRPr="00EE05D8">
        <w:rPr>
          <w:rFonts w:ascii="Geomanist" w:hAnsi="Geomanist"/>
          <w:b/>
          <w:bCs/>
          <w:sz w:val="21"/>
          <w:szCs w:val="21"/>
          <w:lang w:val="es-MX"/>
        </w:rPr>
        <w:t>vdot</w:t>
      </w:r>
      <w:proofErr w:type="spellEnd"/>
      <w:r w:rsidRPr="00EE05D8">
        <w:rPr>
          <w:rFonts w:ascii="Geomanist" w:hAnsi="Geomanist"/>
          <w:b/>
          <w:bCs/>
          <w:sz w:val="21"/>
          <w:szCs w:val="21"/>
          <w:lang w:val="es-MX"/>
        </w:rPr>
        <w:t>=</w:t>
      </w:r>
      <w:r w:rsidRPr="00EE05D8">
        <w:rPr>
          <w:rFonts w:ascii="Geomanist" w:hAnsi="Geomanist"/>
          <w:sz w:val="21"/>
          <w:szCs w:val="21"/>
          <w:lang w:val="es-MX"/>
        </w:rPr>
        <w:t xml:space="preserve"> Valor de la orden de servicio sin IVA.</w:t>
      </w:r>
    </w:p>
    <w:p w14:paraId="5E77AE30" w14:textId="77777777" w:rsidR="00EE05D8" w:rsidRPr="00EE05D8" w:rsidRDefault="00EE05D8" w:rsidP="00EE05D8">
      <w:pPr>
        <w:spacing w:line="276" w:lineRule="auto"/>
        <w:jc w:val="both"/>
        <w:rPr>
          <w:rFonts w:ascii="Geomanist" w:hAnsi="Geomanist"/>
          <w:sz w:val="21"/>
          <w:szCs w:val="21"/>
          <w:lang w:val="es-MX"/>
        </w:rPr>
      </w:pPr>
    </w:p>
    <w:p w14:paraId="3062433A"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En cualquier caso, dicha pena no podrá exceder del monto de la garantía de cumplimiento del contrato, o en caso de que no le aplique la garantía de cumplimiento el límite será del 20% del monto de los servicios entregados o prestados fuera del plazo convenido.</w:t>
      </w:r>
    </w:p>
    <w:p w14:paraId="44B9CF1A" w14:textId="77777777" w:rsidR="00EE05D8" w:rsidRDefault="00EE05D8" w:rsidP="00EE05D8">
      <w:pPr>
        <w:spacing w:line="276" w:lineRule="auto"/>
        <w:jc w:val="both"/>
        <w:rPr>
          <w:rFonts w:ascii="Geomanist" w:hAnsi="Geomanist"/>
          <w:sz w:val="21"/>
          <w:szCs w:val="21"/>
          <w:lang w:val="es-MX"/>
        </w:rPr>
      </w:pPr>
    </w:p>
    <w:p w14:paraId="025D1F43" w14:textId="122D5F07" w:rsidR="00EE05D8" w:rsidRPr="00EE05D8" w:rsidRDefault="00CA59F0" w:rsidP="00EE05D8">
      <w:pPr>
        <w:spacing w:line="276" w:lineRule="auto"/>
        <w:jc w:val="both"/>
        <w:rPr>
          <w:rFonts w:ascii="Geomanist" w:hAnsi="Geomanist"/>
          <w:b/>
          <w:bCs/>
          <w:sz w:val="21"/>
          <w:szCs w:val="21"/>
          <w:lang w:val="es-MX"/>
        </w:rPr>
      </w:pPr>
      <w:r>
        <w:rPr>
          <w:rFonts w:ascii="Geomanist" w:hAnsi="Geomanist"/>
          <w:b/>
          <w:bCs/>
          <w:sz w:val="21"/>
          <w:szCs w:val="21"/>
          <w:lang w:val="es-MX"/>
        </w:rPr>
        <w:t xml:space="preserve">h.2) </w:t>
      </w:r>
      <w:r w:rsidR="00EE05D8" w:rsidRPr="00EE05D8">
        <w:rPr>
          <w:rFonts w:ascii="Geomanist" w:hAnsi="Geomanist"/>
          <w:b/>
          <w:bCs/>
          <w:sz w:val="21"/>
          <w:szCs w:val="21"/>
          <w:lang w:val="es-MX"/>
        </w:rPr>
        <w:t>Deducciones</w:t>
      </w:r>
    </w:p>
    <w:p w14:paraId="49850A42" w14:textId="77777777" w:rsidR="00EE05D8" w:rsidRPr="00EE05D8" w:rsidRDefault="00EE05D8" w:rsidP="00EE05D8">
      <w:pPr>
        <w:spacing w:line="276" w:lineRule="auto"/>
        <w:jc w:val="both"/>
        <w:rPr>
          <w:rFonts w:ascii="Geomanist" w:hAnsi="Geomanist"/>
          <w:b/>
          <w:bCs/>
          <w:sz w:val="21"/>
          <w:szCs w:val="21"/>
          <w:lang w:val="es-MX"/>
        </w:rPr>
      </w:pPr>
    </w:p>
    <w:p w14:paraId="0FE7534F"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En caso de que los servicios sean parciales, deficientes o carezcan de las condiciones detalladas en el anexo técnico y no habiendo causa justificada, el proveedor se hará acreedor a una sanción por los siguientes conceptos:</w:t>
      </w:r>
    </w:p>
    <w:p w14:paraId="3873B333" w14:textId="77777777" w:rsidR="00EE05D8" w:rsidRDefault="00EE05D8" w:rsidP="00EE05D8">
      <w:pPr>
        <w:spacing w:line="360" w:lineRule="auto"/>
        <w:jc w:val="both"/>
        <w:rPr>
          <w:rFonts w:ascii="Geomanist" w:hAnsi="Geomanist"/>
          <w:sz w:val="21"/>
          <w:szCs w:val="21"/>
          <w:lang w:val="es-MX"/>
        </w:rPr>
      </w:pPr>
    </w:p>
    <w:p w14:paraId="2CEF59DE" w14:textId="77777777" w:rsidR="007C28C5" w:rsidRDefault="007C28C5" w:rsidP="00EE05D8">
      <w:pPr>
        <w:spacing w:line="360" w:lineRule="auto"/>
        <w:jc w:val="both"/>
        <w:rPr>
          <w:rFonts w:ascii="Geomanist" w:hAnsi="Geomanist"/>
          <w:sz w:val="21"/>
          <w:szCs w:val="21"/>
          <w:lang w:val="es-MX"/>
        </w:rPr>
      </w:pPr>
    </w:p>
    <w:p w14:paraId="33C318F1" w14:textId="77777777" w:rsidR="007C28C5" w:rsidRDefault="007C28C5" w:rsidP="00EE05D8">
      <w:pPr>
        <w:spacing w:line="360" w:lineRule="auto"/>
        <w:jc w:val="both"/>
        <w:rPr>
          <w:rFonts w:ascii="Geomanist" w:hAnsi="Geomanist"/>
          <w:sz w:val="21"/>
          <w:szCs w:val="21"/>
          <w:lang w:val="es-MX"/>
        </w:rPr>
      </w:pPr>
    </w:p>
    <w:tbl>
      <w:tblPr>
        <w:tblW w:w="9684" w:type="dxa"/>
        <w:jc w:val="center"/>
        <w:tblCellMar>
          <w:top w:w="15" w:type="dxa"/>
          <w:left w:w="15" w:type="dxa"/>
          <w:bottom w:w="15" w:type="dxa"/>
          <w:right w:w="15" w:type="dxa"/>
        </w:tblCellMar>
        <w:tblLook w:val="04A0" w:firstRow="1" w:lastRow="0" w:firstColumn="1" w:lastColumn="0" w:noHBand="0" w:noVBand="1"/>
      </w:tblPr>
      <w:tblGrid>
        <w:gridCol w:w="3515"/>
        <w:gridCol w:w="1295"/>
        <w:gridCol w:w="1131"/>
        <w:gridCol w:w="1567"/>
        <w:gridCol w:w="2127"/>
        <w:gridCol w:w="49"/>
      </w:tblGrid>
      <w:tr w:rsidR="00EE05D8" w:rsidRPr="00EE05D8" w14:paraId="3BAC207C" w14:textId="77777777" w:rsidTr="0037680B">
        <w:trPr>
          <w:gridAfter w:val="1"/>
          <w:wAfter w:w="49" w:type="dxa"/>
          <w:jc w:val="center"/>
        </w:trPr>
        <w:tc>
          <w:tcPr>
            <w:tcW w:w="351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6A27C666" w14:textId="77777777" w:rsidR="00EE05D8" w:rsidRPr="00EE05D8" w:rsidRDefault="00EE05D8" w:rsidP="00EE05D8">
            <w:pPr>
              <w:spacing w:line="360" w:lineRule="auto"/>
              <w:jc w:val="center"/>
              <w:rPr>
                <w:rFonts w:ascii="Geomanist" w:hAnsi="Geomanist"/>
                <w:b/>
                <w:bCs/>
                <w:sz w:val="21"/>
                <w:szCs w:val="21"/>
                <w:lang w:val="es-MX"/>
              </w:rPr>
            </w:pPr>
            <w:r w:rsidRPr="00EE05D8">
              <w:rPr>
                <w:rFonts w:ascii="Geomanist" w:hAnsi="Geomanist"/>
                <w:b/>
                <w:bCs/>
                <w:sz w:val="21"/>
                <w:szCs w:val="21"/>
                <w:lang w:val="es-MX"/>
              </w:rPr>
              <w:t>Concepto y obligación</w:t>
            </w:r>
          </w:p>
        </w:tc>
        <w:tc>
          <w:tcPr>
            <w:tcW w:w="0" w:type="auto"/>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2F31624" w14:textId="77777777" w:rsidR="00EE05D8" w:rsidRPr="00EE05D8" w:rsidRDefault="00EE05D8" w:rsidP="00EE05D8">
            <w:pPr>
              <w:spacing w:line="360" w:lineRule="auto"/>
              <w:jc w:val="center"/>
              <w:rPr>
                <w:rFonts w:ascii="Geomanist" w:hAnsi="Geomanist"/>
                <w:b/>
                <w:bCs/>
                <w:sz w:val="21"/>
                <w:szCs w:val="21"/>
                <w:lang w:val="es-MX"/>
              </w:rPr>
            </w:pPr>
            <w:r w:rsidRPr="00EE05D8">
              <w:rPr>
                <w:rFonts w:ascii="Geomanist" w:hAnsi="Geomanist"/>
                <w:b/>
                <w:bCs/>
                <w:sz w:val="21"/>
                <w:szCs w:val="21"/>
                <w:lang w:val="es-MX"/>
              </w:rPr>
              <w:t>Nivel de servicio</w:t>
            </w:r>
          </w:p>
        </w:tc>
        <w:tc>
          <w:tcPr>
            <w:tcW w:w="0" w:type="auto"/>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2A529D0" w14:textId="77777777" w:rsidR="00EE05D8" w:rsidRPr="00EE05D8" w:rsidRDefault="00EE05D8" w:rsidP="00EE05D8">
            <w:pPr>
              <w:spacing w:line="360" w:lineRule="auto"/>
              <w:jc w:val="center"/>
              <w:rPr>
                <w:rFonts w:ascii="Geomanist" w:hAnsi="Geomanist"/>
                <w:b/>
                <w:bCs/>
                <w:sz w:val="21"/>
                <w:szCs w:val="21"/>
                <w:lang w:val="es-MX"/>
              </w:rPr>
            </w:pPr>
            <w:r w:rsidRPr="00EE05D8">
              <w:rPr>
                <w:rFonts w:ascii="Geomanist" w:hAnsi="Geomanist"/>
                <w:b/>
                <w:bCs/>
                <w:sz w:val="21"/>
                <w:szCs w:val="21"/>
                <w:lang w:val="es-MX"/>
              </w:rPr>
              <w:t>Unidad de medida</w:t>
            </w:r>
          </w:p>
        </w:tc>
        <w:tc>
          <w:tcPr>
            <w:tcW w:w="1567"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6541D605" w14:textId="77777777" w:rsidR="00EE05D8" w:rsidRPr="00EE05D8" w:rsidRDefault="00EE05D8" w:rsidP="00EE05D8">
            <w:pPr>
              <w:spacing w:line="360" w:lineRule="auto"/>
              <w:jc w:val="center"/>
              <w:rPr>
                <w:rFonts w:ascii="Geomanist" w:hAnsi="Geomanist"/>
                <w:b/>
                <w:bCs/>
                <w:sz w:val="21"/>
                <w:szCs w:val="21"/>
                <w:lang w:val="es-MX"/>
              </w:rPr>
            </w:pPr>
            <w:r w:rsidRPr="00EE05D8">
              <w:rPr>
                <w:rFonts w:ascii="Geomanist" w:hAnsi="Geomanist"/>
                <w:b/>
                <w:bCs/>
                <w:sz w:val="21"/>
                <w:szCs w:val="21"/>
                <w:lang w:val="es-MX"/>
              </w:rPr>
              <w:t>Deducción</w:t>
            </w:r>
          </w:p>
        </w:tc>
        <w:tc>
          <w:tcPr>
            <w:tcW w:w="2127"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29BC6645" w14:textId="77777777" w:rsidR="00EE05D8" w:rsidRPr="00EE05D8" w:rsidRDefault="00EE05D8" w:rsidP="00EE05D8">
            <w:pPr>
              <w:spacing w:line="360" w:lineRule="auto"/>
              <w:jc w:val="center"/>
              <w:rPr>
                <w:rFonts w:ascii="Geomanist" w:hAnsi="Geomanist"/>
                <w:b/>
                <w:bCs/>
                <w:sz w:val="21"/>
                <w:szCs w:val="21"/>
                <w:lang w:val="es-MX"/>
              </w:rPr>
            </w:pPr>
            <w:r w:rsidRPr="00EE05D8">
              <w:rPr>
                <w:rFonts w:ascii="Geomanist" w:hAnsi="Geomanist"/>
                <w:b/>
                <w:bCs/>
                <w:sz w:val="21"/>
                <w:szCs w:val="21"/>
                <w:lang w:val="es-MX"/>
              </w:rPr>
              <w:t>Límite de incumplimiento</w:t>
            </w:r>
          </w:p>
        </w:tc>
      </w:tr>
      <w:tr w:rsidR="00EE05D8" w:rsidRPr="00EE05D8" w14:paraId="55C5F803" w14:textId="77777777" w:rsidTr="0037680B">
        <w:trPr>
          <w:gridAfter w:val="1"/>
          <w:wAfter w:w="49" w:type="dxa"/>
          <w:trHeight w:val="293"/>
          <w:jc w:val="center"/>
        </w:trPr>
        <w:tc>
          <w:tcPr>
            <w:tcW w:w="3515"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55671075"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b/>
                <w:bCs/>
                <w:sz w:val="21"/>
                <w:szCs w:val="21"/>
                <w:lang w:val="es-MX"/>
              </w:rPr>
              <w:t xml:space="preserve">Medio Complementario Impreso (Kioscos, dovelas, paneles de andén, vallas, </w:t>
            </w:r>
            <w:proofErr w:type="spellStart"/>
            <w:r w:rsidRPr="00EE05D8">
              <w:rPr>
                <w:rFonts w:ascii="Geomanist" w:hAnsi="Geomanist"/>
                <w:b/>
                <w:bCs/>
                <w:sz w:val="21"/>
                <w:szCs w:val="21"/>
                <w:lang w:val="es-MX"/>
              </w:rPr>
              <w:t>parabuses</w:t>
            </w:r>
            <w:proofErr w:type="spellEnd"/>
            <w:r w:rsidRPr="00EE05D8">
              <w:rPr>
                <w:rFonts w:ascii="Geomanist" w:hAnsi="Geomanist"/>
                <w:b/>
                <w:bCs/>
                <w:sz w:val="21"/>
                <w:szCs w:val="21"/>
                <w:lang w:val="es-MX"/>
              </w:rPr>
              <w:t>, espectaculares, carteleras y otros similares):</w:t>
            </w:r>
          </w:p>
          <w:p w14:paraId="6DEF496B" w14:textId="77777777" w:rsidR="00EE05D8" w:rsidRPr="00EE05D8" w:rsidRDefault="00EE05D8" w:rsidP="00EE05D8">
            <w:pPr>
              <w:spacing w:line="276" w:lineRule="auto"/>
              <w:jc w:val="both"/>
              <w:rPr>
                <w:rFonts w:ascii="Geomanist" w:hAnsi="Geomanist"/>
                <w:sz w:val="21"/>
                <w:szCs w:val="21"/>
                <w:lang w:val="es-MX"/>
              </w:rPr>
            </w:pPr>
          </w:p>
          <w:p w14:paraId="0FE083D0" w14:textId="51312589"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Difusión de las campañas institucionales </w:t>
            </w:r>
            <w:r w:rsidR="00F5215A">
              <w:rPr>
                <w:rFonts w:ascii="Geomanist" w:hAnsi="Geomanist"/>
                <w:sz w:val="21"/>
                <w:szCs w:val="21"/>
                <w:lang w:val="es-MX"/>
              </w:rPr>
              <w:t>2026</w:t>
            </w:r>
            <w:r w:rsidRPr="00EE05D8">
              <w:rPr>
                <w:rFonts w:ascii="Geomanist" w:hAnsi="Geomanist"/>
                <w:sz w:val="21"/>
                <w:szCs w:val="21"/>
                <w:lang w:val="es-MX"/>
              </w:rPr>
              <w:t xml:space="preserve">, en los espacios publicitarios a través de Kioscos, dovelas, paneles de andén, vallas, </w:t>
            </w:r>
            <w:proofErr w:type="spellStart"/>
            <w:r w:rsidRPr="00EE05D8">
              <w:rPr>
                <w:rFonts w:ascii="Geomanist" w:hAnsi="Geomanist"/>
                <w:sz w:val="21"/>
                <w:szCs w:val="21"/>
                <w:lang w:val="es-MX"/>
              </w:rPr>
              <w:t>parabuses</w:t>
            </w:r>
            <w:proofErr w:type="spellEnd"/>
            <w:r w:rsidRPr="00EE05D8">
              <w:rPr>
                <w:rFonts w:ascii="Geomanist" w:hAnsi="Geomanist"/>
                <w:sz w:val="21"/>
                <w:szCs w:val="21"/>
                <w:lang w:val="es-MX"/>
              </w:rPr>
              <w:t>, espectaculares, carteleras y otros similares con las que el proveedor cuenta durante la vigencia del servicio, a indicación expresa de EL INSTITUTO, mediante las órdenes de servicio correspondientes.</w:t>
            </w:r>
          </w:p>
          <w:p w14:paraId="332D7271" w14:textId="77777777" w:rsidR="00EE05D8" w:rsidRPr="00EE05D8" w:rsidRDefault="00EE05D8" w:rsidP="00EE05D8">
            <w:pPr>
              <w:spacing w:line="276" w:lineRule="auto"/>
              <w:jc w:val="both"/>
              <w:rPr>
                <w:rFonts w:ascii="Geomanist" w:hAnsi="Geomanist"/>
                <w:sz w:val="21"/>
                <w:szCs w:val="21"/>
                <w:lang w:val="es-MX"/>
              </w:rPr>
            </w:pPr>
          </w:p>
        </w:tc>
        <w:tc>
          <w:tcPr>
            <w:tcW w:w="0" w:type="auto"/>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18C3582"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El </w:t>
            </w:r>
            <w:r w:rsidRPr="00EE05D8">
              <w:rPr>
                <w:rFonts w:ascii="Geomanist" w:hAnsi="Geomanist"/>
                <w:b/>
                <w:bCs/>
                <w:sz w:val="21"/>
                <w:szCs w:val="21"/>
                <w:lang w:val="es-MX"/>
              </w:rPr>
              <w:t>100%</w:t>
            </w:r>
            <w:r w:rsidRPr="00EE05D8">
              <w:rPr>
                <w:rFonts w:ascii="Geomanist" w:hAnsi="Geomanist"/>
                <w:sz w:val="21"/>
                <w:szCs w:val="21"/>
                <w:lang w:val="es-MX"/>
              </w:rPr>
              <w:t xml:space="preserve"> de los testigos consistentes en las fotografías de los espacios publicitarios colocados y solicitados, en donde se aprecie la difusión de las campañas de EL INSTITUTO, así como la fecha de inicio y </w:t>
            </w:r>
            <w:r w:rsidRPr="00EE05D8">
              <w:rPr>
                <w:rFonts w:ascii="Geomanist" w:hAnsi="Geomanist"/>
                <w:b/>
                <w:bCs/>
                <w:sz w:val="21"/>
                <w:szCs w:val="21"/>
                <w:lang w:val="es-MX"/>
              </w:rPr>
              <w:t>relación</w:t>
            </w:r>
            <w:r w:rsidRPr="00EE05D8">
              <w:rPr>
                <w:rFonts w:ascii="Geomanist" w:hAnsi="Geomanist"/>
                <w:sz w:val="21"/>
                <w:szCs w:val="21"/>
                <w:lang w:val="es-MX"/>
              </w:rPr>
              <w:t xml:space="preserve"> de los espacios solicitados</w:t>
            </w:r>
          </w:p>
        </w:tc>
        <w:tc>
          <w:tcPr>
            <w:tcW w:w="0" w:type="auto"/>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2AEDC1FA"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Por la entrega parcial o deficiente de los testigos de los espacios solicitados en cada orden de servicio.</w:t>
            </w:r>
          </w:p>
        </w:tc>
        <w:tc>
          <w:tcPr>
            <w:tcW w:w="1567"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E375022"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Se descontarán los espacios afectados y se aplicará el 10% del valor de lo incumplido sin IVA; en caso de que EL PROVEEDOR reincida en la afectación de los servicios prestados, este porcentaje incrementará en </w:t>
            </w:r>
            <w:r w:rsidRPr="00EE05D8">
              <w:rPr>
                <w:rFonts w:ascii="Geomanist" w:hAnsi="Geomanist"/>
                <w:b/>
                <w:bCs/>
                <w:sz w:val="21"/>
                <w:szCs w:val="21"/>
                <w:lang w:val="es-MX"/>
              </w:rPr>
              <w:t>5%</w:t>
            </w:r>
            <w:r w:rsidRPr="00EE05D8">
              <w:rPr>
                <w:rFonts w:ascii="Geomanist" w:hAnsi="Geomanist"/>
                <w:sz w:val="21"/>
                <w:szCs w:val="21"/>
                <w:lang w:val="es-MX"/>
              </w:rPr>
              <w:t xml:space="preserve"> en cada ocasión en que una orden de servicio se vea afectada.</w:t>
            </w:r>
          </w:p>
          <w:p w14:paraId="2B0A3106" w14:textId="77777777" w:rsidR="00EE05D8" w:rsidRPr="00EE05D8" w:rsidRDefault="00EE05D8" w:rsidP="00EE05D8">
            <w:pPr>
              <w:spacing w:line="276" w:lineRule="auto"/>
              <w:jc w:val="both"/>
              <w:rPr>
                <w:rFonts w:ascii="Geomanist" w:hAnsi="Geomanist"/>
                <w:sz w:val="21"/>
                <w:szCs w:val="21"/>
                <w:lang w:val="es-MX"/>
              </w:rPr>
            </w:pPr>
          </w:p>
        </w:tc>
        <w:tc>
          <w:tcPr>
            <w:tcW w:w="2127"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10772A5"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Será hasta por el monto de la garantía de cumplimiento o del 20% del monto de los servicios entregados o prestados fuera del plazo convenido, en caso de que no le aplique la entrega de la garantía.</w:t>
            </w:r>
          </w:p>
        </w:tc>
      </w:tr>
      <w:tr w:rsidR="00EE05D8" w:rsidRPr="00EE05D8" w14:paraId="581403EF" w14:textId="77777777" w:rsidTr="0037680B">
        <w:trPr>
          <w:trHeight w:val="278"/>
          <w:jc w:val="center"/>
        </w:trPr>
        <w:tc>
          <w:tcPr>
            <w:tcW w:w="3515" w:type="dxa"/>
            <w:vMerge/>
            <w:tcBorders>
              <w:top w:val="single" w:sz="4" w:space="0" w:color="666666"/>
              <w:left w:val="single" w:sz="4" w:space="0" w:color="666666"/>
              <w:bottom w:val="single" w:sz="4" w:space="0" w:color="666666"/>
              <w:right w:val="single" w:sz="4" w:space="0" w:color="666666"/>
            </w:tcBorders>
            <w:vAlign w:val="center"/>
            <w:hideMark/>
          </w:tcPr>
          <w:p w14:paraId="26C85D4A" w14:textId="77777777" w:rsidR="00EE05D8" w:rsidRPr="00EE05D8" w:rsidRDefault="00EE05D8" w:rsidP="00EE05D8">
            <w:pPr>
              <w:spacing w:line="360" w:lineRule="auto"/>
              <w:jc w:val="both"/>
              <w:rPr>
                <w:rFonts w:ascii="Geomanist" w:hAnsi="Geomanist"/>
                <w:sz w:val="21"/>
                <w:szCs w:val="21"/>
                <w:lang w:val="es-MX"/>
              </w:rPr>
            </w:pPr>
          </w:p>
        </w:tc>
        <w:tc>
          <w:tcPr>
            <w:tcW w:w="0" w:type="auto"/>
            <w:vMerge/>
            <w:tcBorders>
              <w:top w:val="single" w:sz="4" w:space="0" w:color="666666"/>
              <w:left w:val="single" w:sz="4" w:space="0" w:color="666666"/>
              <w:bottom w:val="single" w:sz="4" w:space="0" w:color="666666"/>
              <w:right w:val="single" w:sz="4" w:space="0" w:color="666666"/>
            </w:tcBorders>
            <w:vAlign w:val="center"/>
            <w:hideMark/>
          </w:tcPr>
          <w:p w14:paraId="6FAF9D52" w14:textId="77777777" w:rsidR="00EE05D8" w:rsidRPr="00EE05D8" w:rsidRDefault="00EE05D8" w:rsidP="00EE05D8">
            <w:pPr>
              <w:spacing w:line="360" w:lineRule="auto"/>
              <w:jc w:val="both"/>
              <w:rPr>
                <w:rFonts w:ascii="Geomanist" w:hAnsi="Geomanist"/>
                <w:sz w:val="21"/>
                <w:szCs w:val="21"/>
                <w:lang w:val="es-MX"/>
              </w:rPr>
            </w:pPr>
          </w:p>
        </w:tc>
        <w:tc>
          <w:tcPr>
            <w:tcW w:w="0" w:type="auto"/>
            <w:vMerge/>
            <w:tcBorders>
              <w:top w:val="single" w:sz="4" w:space="0" w:color="666666"/>
              <w:left w:val="single" w:sz="4" w:space="0" w:color="666666"/>
              <w:bottom w:val="single" w:sz="4" w:space="0" w:color="666666"/>
              <w:right w:val="single" w:sz="4" w:space="0" w:color="666666"/>
            </w:tcBorders>
            <w:vAlign w:val="center"/>
            <w:hideMark/>
          </w:tcPr>
          <w:p w14:paraId="3F3350E5" w14:textId="77777777" w:rsidR="00EE05D8" w:rsidRPr="00EE05D8" w:rsidRDefault="00EE05D8" w:rsidP="00EE05D8">
            <w:pPr>
              <w:spacing w:line="360" w:lineRule="auto"/>
              <w:jc w:val="both"/>
              <w:rPr>
                <w:rFonts w:ascii="Geomanist" w:hAnsi="Geomanist"/>
                <w:sz w:val="21"/>
                <w:szCs w:val="21"/>
                <w:lang w:val="es-MX"/>
              </w:rPr>
            </w:pPr>
          </w:p>
        </w:tc>
        <w:tc>
          <w:tcPr>
            <w:tcW w:w="1567" w:type="dxa"/>
            <w:vMerge/>
            <w:tcBorders>
              <w:top w:val="single" w:sz="4" w:space="0" w:color="666666"/>
              <w:left w:val="single" w:sz="4" w:space="0" w:color="666666"/>
              <w:bottom w:val="single" w:sz="4" w:space="0" w:color="666666"/>
              <w:right w:val="single" w:sz="4" w:space="0" w:color="666666"/>
            </w:tcBorders>
            <w:vAlign w:val="center"/>
            <w:hideMark/>
          </w:tcPr>
          <w:p w14:paraId="2EB32FA5" w14:textId="77777777" w:rsidR="00EE05D8" w:rsidRPr="00EE05D8" w:rsidRDefault="00EE05D8" w:rsidP="00EE05D8">
            <w:pPr>
              <w:spacing w:line="360" w:lineRule="auto"/>
              <w:jc w:val="both"/>
              <w:rPr>
                <w:rFonts w:ascii="Geomanist" w:hAnsi="Geomanist"/>
                <w:sz w:val="21"/>
                <w:szCs w:val="21"/>
                <w:lang w:val="es-MX"/>
              </w:rPr>
            </w:pPr>
          </w:p>
        </w:tc>
        <w:tc>
          <w:tcPr>
            <w:tcW w:w="2127" w:type="dxa"/>
            <w:vMerge/>
            <w:tcBorders>
              <w:top w:val="single" w:sz="4" w:space="0" w:color="666666"/>
              <w:left w:val="single" w:sz="4" w:space="0" w:color="666666"/>
              <w:bottom w:val="single" w:sz="4" w:space="0" w:color="666666"/>
              <w:right w:val="single" w:sz="4" w:space="0" w:color="666666"/>
            </w:tcBorders>
            <w:vAlign w:val="center"/>
            <w:hideMark/>
          </w:tcPr>
          <w:p w14:paraId="2B37873D" w14:textId="77777777" w:rsidR="00EE05D8" w:rsidRPr="00EE05D8" w:rsidRDefault="00EE05D8" w:rsidP="00EE05D8">
            <w:pPr>
              <w:spacing w:line="360" w:lineRule="auto"/>
              <w:jc w:val="both"/>
              <w:rPr>
                <w:rFonts w:ascii="Geomanist" w:hAnsi="Geomanist"/>
                <w:sz w:val="21"/>
                <w:szCs w:val="21"/>
                <w:lang w:val="es-MX"/>
              </w:rPr>
            </w:pPr>
          </w:p>
        </w:tc>
        <w:tc>
          <w:tcPr>
            <w:tcW w:w="49" w:type="dxa"/>
            <w:vAlign w:val="center"/>
            <w:hideMark/>
          </w:tcPr>
          <w:p w14:paraId="0C4BEEC7" w14:textId="77777777" w:rsidR="00EE05D8" w:rsidRPr="00EE05D8" w:rsidRDefault="00EE05D8" w:rsidP="00EE05D8">
            <w:pPr>
              <w:spacing w:line="360" w:lineRule="auto"/>
              <w:jc w:val="both"/>
              <w:rPr>
                <w:rFonts w:ascii="Geomanist" w:hAnsi="Geomanist"/>
                <w:sz w:val="21"/>
                <w:szCs w:val="21"/>
                <w:lang w:val="es-MX"/>
              </w:rPr>
            </w:pPr>
          </w:p>
        </w:tc>
      </w:tr>
      <w:tr w:rsidR="00EE05D8" w:rsidRPr="00EE05D8" w14:paraId="23724030" w14:textId="77777777" w:rsidTr="0037680B">
        <w:trPr>
          <w:trHeight w:val="278"/>
          <w:jc w:val="center"/>
        </w:trPr>
        <w:tc>
          <w:tcPr>
            <w:tcW w:w="3515" w:type="dxa"/>
            <w:vMerge/>
            <w:tcBorders>
              <w:top w:val="single" w:sz="4" w:space="0" w:color="666666"/>
              <w:left w:val="single" w:sz="4" w:space="0" w:color="666666"/>
              <w:bottom w:val="single" w:sz="4" w:space="0" w:color="666666"/>
              <w:right w:val="single" w:sz="4" w:space="0" w:color="666666"/>
            </w:tcBorders>
            <w:vAlign w:val="center"/>
            <w:hideMark/>
          </w:tcPr>
          <w:p w14:paraId="12E7D825" w14:textId="77777777" w:rsidR="00EE05D8" w:rsidRPr="00EE05D8" w:rsidRDefault="00EE05D8" w:rsidP="00EE05D8">
            <w:pPr>
              <w:spacing w:line="360" w:lineRule="auto"/>
              <w:jc w:val="both"/>
              <w:rPr>
                <w:rFonts w:ascii="Geomanist" w:hAnsi="Geomanist"/>
                <w:sz w:val="21"/>
                <w:szCs w:val="21"/>
                <w:lang w:val="es-MX"/>
              </w:rPr>
            </w:pPr>
          </w:p>
        </w:tc>
        <w:tc>
          <w:tcPr>
            <w:tcW w:w="0" w:type="auto"/>
            <w:vMerge/>
            <w:tcBorders>
              <w:top w:val="single" w:sz="4" w:space="0" w:color="666666"/>
              <w:left w:val="single" w:sz="4" w:space="0" w:color="666666"/>
              <w:bottom w:val="single" w:sz="4" w:space="0" w:color="666666"/>
              <w:right w:val="single" w:sz="4" w:space="0" w:color="666666"/>
            </w:tcBorders>
            <w:vAlign w:val="center"/>
            <w:hideMark/>
          </w:tcPr>
          <w:p w14:paraId="635BC1A1" w14:textId="77777777" w:rsidR="00EE05D8" w:rsidRPr="00EE05D8" w:rsidRDefault="00EE05D8" w:rsidP="00EE05D8">
            <w:pPr>
              <w:spacing w:line="360" w:lineRule="auto"/>
              <w:jc w:val="both"/>
              <w:rPr>
                <w:rFonts w:ascii="Geomanist" w:hAnsi="Geomanist"/>
                <w:sz w:val="21"/>
                <w:szCs w:val="21"/>
                <w:lang w:val="es-MX"/>
              </w:rPr>
            </w:pPr>
          </w:p>
        </w:tc>
        <w:tc>
          <w:tcPr>
            <w:tcW w:w="0" w:type="auto"/>
            <w:vMerge/>
            <w:tcBorders>
              <w:top w:val="single" w:sz="4" w:space="0" w:color="666666"/>
              <w:left w:val="single" w:sz="4" w:space="0" w:color="666666"/>
              <w:bottom w:val="single" w:sz="4" w:space="0" w:color="666666"/>
              <w:right w:val="single" w:sz="4" w:space="0" w:color="666666"/>
            </w:tcBorders>
            <w:vAlign w:val="center"/>
            <w:hideMark/>
          </w:tcPr>
          <w:p w14:paraId="5220348C" w14:textId="77777777" w:rsidR="00EE05D8" w:rsidRPr="00EE05D8" w:rsidRDefault="00EE05D8" w:rsidP="00EE05D8">
            <w:pPr>
              <w:spacing w:line="360" w:lineRule="auto"/>
              <w:jc w:val="both"/>
              <w:rPr>
                <w:rFonts w:ascii="Geomanist" w:hAnsi="Geomanist"/>
                <w:sz w:val="21"/>
                <w:szCs w:val="21"/>
                <w:lang w:val="es-MX"/>
              </w:rPr>
            </w:pPr>
          </w:p>
        </w:tc>
        <w:tc>
          <w:tcPr>
            <w:tcW w:w="1567" w:type="dxa"/>
            <w:vMerge/>
            <w:tcBorders>
              <w:top w:val="single" w:sz="4" w:space="0" w:color="666666"/>
              <w:left w:val="single" w:sz="4" w:space="0" w:color="666666"/>
              <w:bottom w:val="single" w:sz="4" w:space="0" w:color="666666"/>
              <w:right w:val="single" w:sz="4" w:space="0" w:color="666666"/>
            </w:tcBorders>
            <w:vAlign w:val="center"/>
            <w:hideMark/>
          </w:tcPr>
          <w:p w14:paraId="388CD0C0" w14:textId="77777777" w:rsidR="00EE05D8" w:rsidRPr="00EE05D8" w:rsidRDefault="00EE05D8" w:rsidP="00EE05D8">
            <w:pPr>
              <w:spacing w:line="360" w:lineRule="auto"/>
              <w:jc w:val="both"/>
              <w:rPr>
                <w:rFonts w:ascii="Geomanist" w:hAnsi="Geomanist"/>
                <w:sz w:val="21"/>
                <w:szCs w:val="21"/>
                <w:lang w:val="es-MX"/>
              </w:rPr>
            </w:pPr>
          </w:p>
        </w:tc>
        <w:tc>
          <w:tcPr>
            <w:tcW w:w="2127" w:type="dxa"/>
            <w:vMerge/>
            <w:tcBorders>
              <w:top w:val="single" w:sz="4" w:space="0" w:color="666666"/>
              <w:left w:val="single" w:sz="4" w:space="0" w:color="666666"/>
              <w:bottom w:val="single" w:sz="4" w:space="0" w:color="666666"/>
              <w:right w:val="single" w:sz="4" w:space="0" w:color="666666"/>
            </w:tcBorders>
            <w:vAlign w:val="center"/>
            <w:hideMark/>
          </w:tcPr>
          <w:p w14:paraId="0D313330" w14:textId="77777777" w:rsidR="00EE05D8" w:rsidRPr="00EE05D8" w:rsidRDefault="00EE05D8" w:rsidP="00EE05D8">
            <w:pPr>
              <w:spacing w:line="360" w:lineRule="auto"/>
              <w:jc w:val="both"/>
              <w:rPr>
                <w:rFonts w:ascii="Geomanist" w:hAnsi="Geomanist"/>
                <w:sz w:val="21"/>
                <w:szCs w:val="21"/>
                <w:lang w:val="es-MX"/>
              </w:rPr>
            </w:pPr>
          </w:p>
        </w:tc>
        <w:tc>
          <w:tcPr>
            <w:tcW w:w="49" w:type="dxa"/>
            <w:vAlign w:val="center"/>
            <w:hideMark/>
          </w:tcPr>
          <w:p w14:paraId="33857F52" w14:textId="77777777" w:rsidR="00EE05D8" w:rsidRPr="00EE05D8" w:rsidRDefault="00EE05D8" w:rsidP="00EE05D8">
            <w:pPr>
              <w:spacing w:line="360" w:lineRule="auto"/>
              <w:jc w:val="both"/>
              <w:rPr>
                <w:rFonts w:ascii="Geomanist" w:hAnsi="Geomanist"/>
                <w:sz w:val="21"/>
                <w:szCs w:val="21"/>
                <w:lang w:val="es-MX"/>
              </w:rPr>
            </w:pPr>
          </w:p>
        </w:tc>
      </w:tr>
    </w:tbl>
    <w:p w14:paraId="7A63B6A3" w14:textId="77777777" w:rsidR="0037680B" w:rsidRDefault="0037680B" w:rsidP="00EE05D8">
      <w:pPr>
        <w:spacing w:line="276" w:lineRule="auto"/>
        <w:jc w:val="both"/>
        <w:rPr>
          <w:rFonts w:ascii="Geomanist" w:hAnsi="Geomanist"/>
          <w:sz w:val="21"/>
          <w:szCs w:val="21"/>
          <w:lang w:val="es-MX"/>
        </w:rPr>
      </w:pPr>
    </w:p>
    <w:p w14:paraId="542A4BB0" w14:textId="3AAF83E5"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Cabe señalar que el límite de incumplimiento por este concepto será hasta por el monto de la garantía de cumplimiento, o en caso de que no le aplique la garantía de cumplimiento, el límite será de hasta por el 20% del monto de los servicios entregados o prestados fuera del plazo convenido y, en caso de que se rebase éste, se aplicará a juicio del Instituto Mexicano del Seguro Social, cualquiera de las dos opciones previstas en el artículo </w:t>
      </w:r>
      <w:r w:rsidR="00F71168" w:rsidRPr="005E536D">
        <w:rPr>
          <w:rFonts w:ascii="Geomanist" w:hAnsi="Geomanist"/>
          <w:sz w:val="21"/>
          <w:szCs w:val="21"/>
          <w:lang w:val="es-MX"/>
        </w:rPr>
        <w:t xml:space="preserve">76 </w:t>
      </w:r>
      <w:r w:rsidRPr="005E536D">
        <w:rPr>
          <w:rFonts w:ascii="Geomanist" w:hAnsi="Geomanist"/>
          <w:sz w:val="21"/>
          <w:szCs w:val="21"/>
          <w:lang w:val="es-MX"/>
        </w:rPr>
        <w:t xml:space="preserve">de la Ley de </w:t>
      </w:r>
      <w:r w:rsidRPr="00BA01E8">
        <w:rPr>
          <w:rFonts w:ascii="Geomanist" w:hAnsi="Geomanist"/>
          <w:sz w:val="21"/>
          <w:szCs w:val="21"/>
          <w:lang w:val="es-MX"/>
        </w:rPr>
        <w:t>Adquisiciones, Arrendamientos</w:t>
      </w:r>
      <w:r w:rsidRPr="00EE05D8">
        <w:rPr>
          <w:rFonts w:ascii="Geomanist" w:hAnsi="Geomanist"/>
          <w:sz w:val="21"/>
          <w:szCs w:val="21"/>
          <w:lang w:val="es-MX"/>
        </w:rPr>
        <w:t xml:space="preserve"> y Servicios del Sector Público.</w:t>
      </w:r>
    </w:p>
    <w:p w14:paraId="75A67361" w14:textId="77777777" w:rsidR="00EE05D8" w:rsidRDefault="00EE05D8" w:rsidP="00EE05D8">
      <w:pPr>
        <w:spacing w:line="276" w:lineRule="auto"/>
        <w:jc w:val="both"/>
        <w:rPr>
          <w:rFonts w:ascii="Geomanist" w:hAnsi="Geomanist"/>
          <w:sz w:val="21"/>
          <w:szCs w:val="21"/>
          <w:lang w:val="es-MX"/>
        </w:rPr>
      </w:pPr>
    </w:p>
    <w:p w14:paraId="5D8B7F98" w14:textId="77777777" w:rsidR="007C28C5" w:rsidRDefault="007C28C5" w:rsidP="00EE05D8">
      <w:pPr>
        <w:spacing w:line="276" w:lineRule="auto"/>
        <w:jc w:val="both"/>
        <w:rPr>
          <w:rFonts w:ascii="Geomanist" w:hAnsi="Geomanist"/>
          <w:sz w:val="21"/>
          <w:szCs w:val="21"/>
          <w:lang w:val="es-MX"/>
        </w:rPr>
      </w:pPr>
    </w:p>
    <w:p w14:paraId="7232F97B" w14:textId="77777777" w:rsidR="007C28C5" w:rsidRPr="00EE05D8" w:rsidRDefault="007C28C5" w:rsidP="00EE05D8">
      <w:pPr>
        <w:spacing w:line="276" w:lineRule="auto"/>
        <w:jc w:val="both"/>
        <w:rPr>
          <w:rFonts w:ascii="Geomanist" w:hAnsi="Geomanist"/>
          <w:sz w:val="21"/>
          <w:szCs w:val="21"/>
          <w:lang w:val="es-MX"/>
        </w:rPr>
      </w:pPr>
    </w:p>
    <w:p w14:paraId="0DA54548" w14:textId="77777777" w:rsid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lastRenderedPageBreak/>
        <w:t xml:space="preserve">La falta de veracidad total o parcial respecto a la información, documentos, testigos y demás entregables que sean proporcionados por </w:t>
      </w:r>
      <w:r w:rsidRPr="00EE05D8">
        <w:rPr>
          <w:rFonts w:ascii="Geomanist" w:hAnsi="Geomanist"/>
          <w:b/>
          <w:bCs/>
          <w:sz w:val="21"/>
          <w:szCs w:val="21"/>
          <w:lang w:val="es-MX"/>
        </w:rPr>
        <w:t>EL PROVEEDOR</w:t>
      </w:r>
      <w:r w:rsidRPr="00EE05D8">
        <w:rPr>
          <w:rFonts w:ascii="Geomanist" w:hAnsi="Geomanist"/>
          <w:sz w:val="21"/>
          <w:szCs w:val="21"/>
          <w:lang w:val="es-MX"/>
        </w:rPr>
        <w:t xml:space="preserve"> a </w:t>
      </w:r>
      <w:r w:rsidRPr="00EE05D8">
        <w:rPr>
          <w:rFonts w:ascii="Geomanist" w:hAnsi="Geomanist"/>
          <w:b/>
          <w:bCs/>
          <w:sz w:val="21"/>
          <w:szCs w:val="21"/>
          <w:lang w:val="es-MX"/>
        </w:rPr>
        <w:t>EL INSTITUTO</w:t>
      </w:r>
      <w:r w:rsidRPr="00EE05D8">
        <w:rPr>
          <w:rFonts w:ascii="Geomanist" w:hAnsi="Geomanist"/>
          <w:sz w:val="21"/>
          <w:szCs w:val="21"/>
          <w:lang w:val="es-MX"/>
        </w:rPr>
        <w:t xml:space="preserve">, será causal de rescisión inmediata del contrato que se celebre, sin más responsabilidad para </w:t>
      </w:r>
      <w:r w:rsidRPr="00EE05D8">
        <w:rPr>
          <w:rFonts w:ascii="Geomanist" w:hAnsi="Geomanist"/>
          <w:b/>
          <w:bCs/>
          <w:sz w:val="21"/>
          <w:szCs w:val="21"/>
          <w:lang w:val="es-MX"/>
        </w:rPr>
        <w:t>EL INSTITUTO</w:t>
      </w:r>
      <w:r w:rsidRPr="00EE05D8">
        <w:rPr>
          <w:rFonts w:ascii="Geomanist" w:hAnsi="Geomanist"/>
          <w:sz w:val="21"/>
          <w:szCs w:val="21"/>
          <w:lang w:val="es-MX"/>
        </w:rPr>
        <w:t xml:space="preserve">, sin necesidad de resolución judicial y sin perjuicio de las acciones civiles, administrativas y penales que procedan en contra de </w:t>
      </w:r>
      <w:r w:rsidRPr="00EE05D8">
        <w:rPr>
          <w:rFonts w:ascii="Geomanist" w:hAnsi="Geomanist"/>
          <w:b/>
          <w:bCs/>
          <w:sz w:val="21"/>
          <w:szCs w:val="21"/>
          <w:lang w:val="es-MX"/>
        </w:rPr>
        <w:t>EL PROVEEDOR</w:t>
      </w:r>
      <w:r w:rsidRPr="00EE05D8">
        <w:rPr>
          <w:rFonts w:ascii="Geomanist" w:hAnsi="Geomanist"/>
          <w:sz w:val="21"/>
          <w:szCs w:val="21"/>
          <w:lang w:val="es-MX"/>
        </w:rPr>
        <w:t>.</w:t>
      </w:r>
    </w:p>
    <w:p w14:paraId="0690EDEE" w14:textId="6D08BB61" w:rsidR="0037680B" w:rsidRDefault="0037680B">
      <w:pPr>
        <w:rPr>
          <w:rFonts w:ascii="Geomanist" w:hAnsi="Geomanist"/>
          <w:b/>
          <w:bCs/>
          <w:sz w:val="21"/>
          <w:szCs w:val="21"/>
          <w:lang w:val="es-MX"/>
        </w:rPr>
      </w:pPr>
    </w:p>
    <w:p w14:paraId="38FCC3C2" w14:textId="0F74669F" w:rsidR="00CA59F0" w:rsidRPr="007128D6" w:rsidRDefault="00CA59F0" w:rsidP="00CA59F0">
      <w:pPr>
        <w:jc w:val="both"/>
        <w:rPr>
          <w:rFonts w:ascii="Geomanist" w:hAnsi="Geomanist"/>
          <w:b/>
          <w:bCs/>
          <w:sz w:val="21"/>
          <w:szCs w:val="21"/>
          <w:lang w:val="es-MX"/>
        </w:rPr>
      </w:pPr>
      <w:r w:rsidRPr="007128D6">
        <w:rPr>
          <w:rFonts w:ascii="Geomanist" w:hAnsi="Geomanist"/>
          <w:b/>
          <w:bCs/>
          <w:sz w:val="21"/>
          <w:szCs w:val="21"/>
          <w:lang w:val="es-MX"/>
        </w:rPr>
        <w:t xml:space="preserve">h.3) Justificación del incremento en el porcentaje máximo establecido en el apartado 5.5.8, inciso e, de las Políticas, Bases y Lineamientos en materia de Adquisiciones, Arrendamientos y Servicios del Instituto Mexicano del Seguro Social, (POBALINES), para la aplicación de penas convencionales y deductivas, respecto a la prestación del SERVICIO DE DIFUSIÓN DE LAS CAMPAÑAS INSTITUCIONALES </w:t>
      </w:r>
      <w:r w:rsidR="00F5215A">
        <w:rPr>
          <w:rFonts w:ascii="Geomanist" w:hAnsi="Geomanist"/>
          <w:b/>
          <w:bCs/>
          <w:sz w:val="21"/>
          <w:szCs w:val="21"/>
          <w:lang w:val="es-MX"/>
        </w:rPr>
        <w:t>2026</w:t>
      </w:r>
      <w:r w:rsidRPr="007128D6">
        <w:rPr>
          <w:rFonts w:ascii="Geomanist" w:hAnsi="Geomanist"/>
          <w:b/>
          <w:bCs/>
          <w:sz w:val="21"/>
          <w:szCs w:val="21"/>
          <w:lang w:val="es-MX"/>
        </w:rPr>
        <w:t>, A TRAVÉS DE MEDIOS DE COMUNICACIÓN ELECTRÓNICOS, IMPRESOS, DIGITALES Y COMPLEMENTARIOS.</w:t>
      </w:r>
    </w:p>
    <w:p w14:paraId="53EECACF" w14:textId="77777777" w:rsidR="00CA59F0" w:rsidRPr="00CA59F0" w:rsidRDefault="00CA59F0" w:rsidP="00CA59F0">
      <w:pPr>
        <w:jc w:val="both"/>
        <w:rPr>
          <w:rFonts w:ascii="Geomanist" w:hAnsi="Geomanist"/>
          <w:sz w:val="21"/>
          <w:szCs w:val="21"/>
          <w:lang w:val="es-MX"/>
        </w:rPr>
      </w:pPr>
    </w:p>
    <w:p w14:paraId="0AE73F2B" w14:textId="0EC0DAB7" w:rsidR="00CA59F0" w:rsidRPr="00CA59F0" w:rsidRDefault="00CA59F0" w:rsidP="00CA59F0">
      <w:pPr>
        <w:jc w:val="both"/>
        <w:rPr>
          <w:rFonts w:ascii="Geomanist" w:hAnsi="Geomanist"/>
          <w:sz w:val="21"/>
          <w:szCs w:val="21"/>
          <w:lang w:val="es-MX"/>
        </w:rPr>
      </w:pPr>
      <w:r w:rsidRPr="00CA59F0">
        <w:rPr>
          <w:rFonts w:ascii="Geomanist" w:hAnsi="Geomanist"/>
          <w:sz w:val="21"/>
          <w:szCs w:val="21"/>
          <w:lang w:val="es-MX"/>
        </w:rPr>
        <w:t xml:space="preserve">El servicio que se </w:t>
      </w:r>
      <w:proofErr w:type="gramStart"/>
      <w:r w:rsidR="00BA01E8" w:rsidRPr="00CA59F0">
        <w:rPr>
          <w:rFonts w:ascii="Geomanist" w:hAnsi="Geomanist"/>
          <w:sz w:val="21"/>
          <w:szCs w:val="21"/>
          <w:lang w:val="es-MX"/>
        </w:rPr>
        <w:t>propone</w:t>
      </w:r>
      <w:r w:rsidR="00BA01E8">
        <w:rPr>
          <w:rFonts w:ascii="Geomanist" w:hAnsi="Geomanist"/>
          <w:sz w:val="21"/>
          <w:szCs w:val="21"/>
          <w:lang w:val="es-MX"/>
        </w:rPr>
        <w:t>,</w:t>
      </w:r>
      <w:proofErr w:type="gramEnd"/>
      <w:r w:rsidRPr="00CA59F0">
        <w:rPr>
          <w:rFonts w:ascii="Geomanist" w:hAnsi="Geomanist"/>
          <w:sz w:val="21"/>
          <w:szCs w:val="21"/>
          <w:lang w:val="es-MX"/>
        </w:rPr>
        <w:t xml:space="preserve"> consiste en la contratación de espacios para la difusión de las Campañas Institucionales </w:t>
      </w:r>
      <w:r w:rsidR="00F5215A">
        <w:rPr>
          <w:rFonts w:ascii="Geomanist" w:hAnsi="Geomanist"/>
          <w:sz w:val="21"/>
          <w:szCs w:val="21"/>
          <w:lang w:val="es-MX"/>
        </w:rPr>
        <w:t>2026</w:t>
      </w:r>
      <w:r w:rsidRPr="00CA59F0">
        <w:rPr>
          <w:rFonts w:ascii="Geomanist" w:hAnsi="Geomanist"/>
          <w:sz w:val="21"/>
          <w:szCs w:val="21"/>
          <w:lang w:val="es-MX"/>
        </w:rPr>
        <w:t xml:space="preserve">, a través de medios de comunicación electrónicos, impresos, digitales y complementarios, mediante piezas de comunicación como son: spots de televisión, spots de radio, inserciones en periódicos y revistas, banners en portales y sitios web, publicidad en muebles urbanos y espectaculares, entre otros. </w:t>
      </w:r>
    </w:p>
    <w:p w14:paraId="646F1189" w14:textId="77777777" w:rsidR="00CA59F0" w:rsidRPr="00CA59F0" w:rsidRDefault="00CA59F0" w:rsidP="00CA59F0">
      <w:pPr>
        <w:jc w:val="both"/>
        <w:rPr>
          <w:rFonts w:ascii="Geomanist" w:hAnsi="Geomanist"/>
          <w:sz w:val="21"/>
          <w:szCs w:val="21"/>
          <w:lang w:val="es-MX"/>
        </w:rPr>
      </w:pPr>
    </w:p>
    <w:p w14:paraId="1400A876" w14:textId="0AF267B6" w:rsidR="00CA59F0" w:rsidRPr="00CA59F0" w:rsidRDefault="00CA59F0" w:rsidP="00CA59F0">
      <w:pPr>
        <w:jc w:val="both"/>
        <w:rPr>
          <w:rFonts w:ascii="Geomanist" w:hAnsi="Geomanist"/>
          <w:color w:val="FF0000"/>
          <w:sz w:val="21"/>
          <w:szCs w:val="21"/>
          <w:lang w:val="es-MX"/>
        </w:rPr>
      </w:pPr>
      <w:r w:rsidRPr="00CA59F0">
        <w:rPr>
          <w:rFonts w:ascii="Geomanist" w:hAnsi="Geomanist"/>
          <w:sz w:val="21"/>
          <w:szCs w:val="21"/>
          <w:lang w:val="es-MX"/>
        </w:rPr>
        <w:t xml:space="preserve">La contratación de estos servicios es imperativa para el cumplimiento de la Estrategia y Programa Anual de Comunicación Social </w:t>
      </w:r>
      <w:r w:rsidR="00F5215A">
        <w:rPr>
          <w:rFonts w:ascii="Geomanist" w:hAnsi="Geomanist"/>
          <w:sz w:val="21"/>
          <w:szCs w:val="21"/>
          <w:lang w:val="es-MX"/>
        </w:rPr>
        <w:t>2026</w:t>
      </w:r>
      <w:r w:rsidRPr="00CA59F0">
        <w:rPr>
          <w:rFonts w:ascii="Geomanist" w:hAnsi="Geomanist"/>
          <w:sz w:val="21"/>
          <w:szCs w:val="21"/>
          <w:lang w:val="es-MX"/>
        </w:rPr>
        <w:t xml:space="preserve"> del Instituto Mexicano del Seguro Social, que contempla la difusión de las </w:t>
      </w:r>
      <w:r w:rsidRPr="005E536D">
        <w:rPr>
          <w:rFonts w:ascii="Geomanist" w:hAnsi="Geomanist"/>
          <w:sz w:val="21"/>
          <w:szCs w:val="21"/>
          <w:lang w:val="es-MX"/>
        </w:rPr>
        <w:t xml:space="preserve">campañas </w:t>
      </w:r>
      <w:r w:rsidR="005E536D" w:rsidRPr="005E536D">
        <w:rPr>
          <w:rFonts w:ascii="Geomanist" w:hAnsi="Geomanist"/>
          <w:sz w:val="21"/>
          <w:szCs w:val="21"/>
          <w:lang w:val="es-MX"/>
        </w:rPr>
        <w:t>autorizadas</w:t>
      </w:r>
      <w:r w:rsidRPr="005E536D">
        <w:rPr>
          <w:rFonts w:ascii="Geomanist" w:hAnsi="Geomanist"/>
          <w:sz w:val="21"/>
          <w:szCs w:val="21"/>
          <w:lang w:val="es-MX"/>
        </w:rPr>
        <w:t xml:space="preserve">. </w:t>
      </w:r>
    </w:p>
    <w:p w14:paraId="784B7BB9" w14:textId="77777777" w:rsidR="00CA59F0" w:rsidRPr="00CA59F0" w:rsidRDefault="00CA59F0" w:rsidP="00CA59F0">
      <w:pPr>
        <w:jc w:val="both"/>
        <w:rPr>
          <w:rFonts w:ascii="Geomanist" w:hAnsi="Geomanist"/>
          <w:sz w:val="21"/>
          <w:szCs w:val="21"/>
          <w:lang w:val="es-MX"/>
        </w:rPr>
      </w:pPr>
    </w:p>
    <w:p w14:paraId="02D665A4" w14:textId="29077D8A" w:rsidR="00CA59F0" w:rsidRPr="00CA59F0" w:rsidRDefault="00CA59F0" w:rsidP="00CA59F0">
      <w:pPr>
        <w:jc w:val="both"/>
        <w:rPr>
          <w:rFonts w:ascii="Geomanist" w:hAnsi="Geomanist"/>
          <w:sz w:val="21"/>
          <w:szCs w:val="21"/>
          <w:lang w:val="es-MX"/>
        </w:rPr>
      </w:pPr>
      <w:r w:rsidRPr="00CA59F0">
        <w:rPr>
          <w:rFonts w:ascii="Geomanist" w:hAnsi="Geomanist"/>
          <w:sz w:val="21"/>
          <w:szCs w:val="21"/>
          <w:lang w:val="es-MX"/>
        </w:rPr>
        <w:t>Se identificó que los espacios publicitarios seleccionados para el cumplimiento de la Estrategia y Programa Anual de Comunicación Social del IMSS para este ejercicio fiscal, cada uno tiene características únicas en cuanto a alcance, cobertura geográfica, accesibilidad, especialidad, destinatarios, audiencia, rating, por esta razón se determinó que la mezcla de los medios seleccionados es la mejor opción para llegar a la población objetivo, con el nivel de penetración requerido por el Instituto para reforzar los mensajes institucionales previstos en la Estrategia y Programa en cuestión, toda vez que existe la necesidad de cubrir al mayor número de público objetivo con la difusión de las campañas institucionales dentro del territorio nacional, así como de diversificar y en algunos casos segmentar el impacto de los medios de comunicación para el público objetivo  en diferentes grupos sociales y ubicación geográfica.</w:t>
      </w:r>
    </w:p>
    <w:p w14:paraId="7605FAC0" w14:textId="77777777" w:rsidR="00CA59F0" w:rsidRPr="00CA59F0" w:rsidRDefault="00CA59F0" w:rsidP="00CA59F0">
      <w:pPr>
        <w:jc w:val="both"/>
        <w:rPr>
          <w:rFonts w:ascii="Geomanist" w:hAnsi="Geomanist"/>
          <w:sz w:val="21"/>
          <w:szCs w:val="21"/>
          <w:lang w:val="es-MX"/>
        </w:rPr>
      </w:pPr>
    </w:p>
    <w:p w14:paraId="5E717E1A" w14:textId="77777777" w:rsidR="00CA59F0" w:rsidRPr="00CA59F0" w:rsidRDefault="00CA59F0" w:rsidP="00CA59F0">
      <w:pPr>
        <w:jc w:val="both"/>
        <w:rPr>
          <w:rFonts w:ascii="Geomanist" w:hAnsi="Geomanist"/>
          <w:sz w:val="21"/>
          <w:szCs w:val="21"/>
          <w:lang w:val="es-MX"/>
        </w:rPr>
      </w:pPr>
      <w:r w:rsidRPr="00CA59F0">
        <w:rPr>
          <w:rFonts w:ascii="Geomanist" w:hAnsi="Geomanist"/>
          <w:sz w:val="21"/>
          <w:szCs w:val="21"/>
          <w:lang w:val="es-MX"/>
        </w:rPr>
        <w:t>En ese orden de ideas, el hecho de que el servicio se preste en los plazos establecidos en el documento de términos y condiciones y que cumpla con las características técnicas establecidas para el servicio cobra relevancia ya que garantiza el logro de las metas institucionales en materia de comunicación. Para ello, es indispensable establecer contractualmente un incremento al porcentaje máximo para la aplicación de penas convencionales y deductivas, previsto en el último párrafo del inciso e, del apartado 5.5.8 de las POBALINES, con base en las consideraciones siguientes:</w:t>
      </w:r>
    </w:p>
    <w:p w14:paraId="42FFA102" w14:textId="77777777" w:rsidR="00CA59F0" w:rsidRDefault="00CA59F0" w:rsidP="00CA59F0">
      <w:pPr>
        <w:jc w:val="both"/>
        <w:rPr>
          <w:rFonts w:ascii="Geomanist" w:hAnsi="Geomanist"/>
          <w:sz w:val="21"/>
          <w:szCs w:val="21"/>
          <w:lang w:val="es-MX"/>
        </w:rPr>
      </w:pPr>
    </w:p>
    <w:p w14:paraId="2EDFFA38" w14:textId="77777777" w:rsidR="007C28C5" w:rsidRPr="00CA59F0" w:rsidRDefault="007C28C5" w:rsidP="00CA59F0">
      <w:pPr>
        <w:jc w:val="both"/>
        <w:rPr>
          <w:rFonts w:ascii="Geomanist" w:hAnsi="Geomanist"/>
          <w:sz w:val="21"/>
          <w:szCs w:val="21"/>
          <w:lang w:val="es-MX"/>
        </w:rPr>
      </w:pPr>
    </w:p>
    <w:p w14:paraId="63D0A357" w14:textId="77777777" w:rsidR="00CA59F0" w:rsidRPr="00CA59F0" w:rsidRDefault="00CA59F0" w:rsidP="00CA59F0">
      <w:pPr>
        <w:jc w:val="both"/>
        <w:rPr>
          <w:rFonts w:ascii="Geomanist" w:hAnsi="Geomanist"/>
          <w:sz w:val="21"/>
          <w:szCs w:val="21"/>
          <w:lang w:val="es-MX"/>
        </w:rPr>
      </w:pPr>
      <w:r w:rsidRPr="00CA59F0">
        <w:rPr>
          <w:rFonts w:ascii="Geomanist" w:hAnsi="Geomanist"/>
          <w:sz w:val="21"/>
          <w:szCs w:val="21"/>
          <w:lang w:val="es-MX"/>
        </w:rPr>
        <w:lastRenderedPageBreak/>
        <w:t>I. Las POBALINES en el apartado 5.5.8, inciso e, establece que “…La aplicación de las penas convencionales y deductivas será por regla general de la siguiente manera:</w:t>
      </w:r>
    </w:p>
    <w:p w14:paraId="561723BC" w14:textId="77777777" w:rsidR="00CA59F0" w:rsidRPr="00172473" w:rsidRDefault="00CA59F0" w:rsidP="00CA59F0">
      <w:pPr>
        <w:jc w:val="both"/>
        <w:rPr>
          <w:rFonts w:ascii="Montserrat" w:eastAsia="Montserrat" w:hAnsi="Montserrat" w:cs="Montserrat"/>
          <w:i/>
          <w:color w:val="000000"/>
          <w:sz w:val="18"/>
          <w:szCs w:val="18"/>
        </w:rPr>
      </w:pPr>
    </w:p>
    <w:tbl>
      <w:tblPr>
        <w:tblStyle w:val="Tablaconcuadrcula"/>
        <w:tblW w:w="0" w:type="auto"/>
        <w:jc w:val="center"/>
        <w:tblLook w:val="04A0" w:firstRow="1" w:lastRow="0" w:firstColumn="1" w:lastColumn="0" w:noHBand="0" w:noVBand="1"/>
      </w:tblPr>
      <w:tblGrid>
        <w:gridCol w:w="959"/>
        <w:gridCol w:w="2048"/>
        <w:gridCol w:w="2126"/>
      </w:tblGrid>
      <w:tr w:rsidR="00CA59F0" w:rsidRPr="00CA59F0" w14:paraId="21FD1587" w14:textId="77777777" w:rsidTr="00A479CF">
        <w:trPr>
          <w:jc w:val="center"/>
        </w:trPr>
        <w:tc>
          <w:tcPr>
            <w:tcW w:w="959" w:type="dxa"/>
          </w:tcPr>
          <w:p w14:paraId="50C2C90C"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Núm.</w:t>
            </w:r>
          </w:p>
        </w:tc>
        <w:tc>
          <w:tcPr>
            <w:tcW w:w="2048" w:type="dxa"/>
          </w:tcPr>
          <w:p w14:paraId="5BA7C4D3"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Descripción</w:t>
            </w:r>
          </w:p>
        </w:tc>
        <w:tc>
          <w:tcPr>
            <w:tcW w:w="2126" w:type="dxa"/>
          </w:tcPr>
          <w:p w14:paraId="4E36A8F8"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Rango</w:t>
            </w:r>
          </w:p>
        </w:tc>
      </w:tr>
      <w:tr w:rsidR="00CA59F0" w:rsidRPr="00CA59F0" w14:paraId="5D83E50D" w14:textId="77777777" w:rsidTr="00A479CF">
        <w:trPr>
          <w:jc w:val="center"/>
        </w:trPr>
        <w:tc>
          <w:tcPr>
            <w:tcW w:w="959" w:type="dxa"/>
          </w:tcPr>
          <w:p w14:paraId="052F90F2"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1</w:t>
            </w:r>
          </w:p>
        </w:tc>
        <w:tc>
          <w:tcPr>
            <w:tcW w:w="2048" w:type="dxa"/>
          </w:tcPr>
          <w:p w14:paraId="0CD85089"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Bienes</w:t>
            </w:r>
          </w:p>
        </w:tc>
        <w:tc>
          <w:tcPr>
            <w:tcW w:w="2126" w:type="dxa"/>
            <w:vMerge w:val="restart"/>
            <w:vAlign w:val="center"/>
          </w:tcPr>
          <w:p w14:paraId="61964938" w14:textId="77777777" w:rsidR="00CA59F0" w:rsidRPr="00CA59F0" w:rsidRDefault="00CA59F0" w:rsidP="00A479CF">
            <w:pPr>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Del 0.2% al 1%</w:t>
            </w:r>
          </w:p>
        </w:tc>
      </w:tr>
      <w:tr w:rsidR="00CA59F0" w:rsidRPr="00CA59F0" w14:paraId="15CAD3DC" w14:textId="77777777" w:rsidTr="00A479CF">
        <w:trPr>
          <w:jc w:val="center"/>
        </w:trPr>
        <w:tc>
          <w:tcPr>
            <w:tcW w:w="959" w:type="dxa"/>
          </w:tcPr>
          <w:p w14:paraId="27F6F94B"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2</w:t>
            </w:r>
          </w:p>
        </w:tc>
        <w:tc>
          <w:tcPr>
            <w:tcW w:w="2048" w:type="dxa"/>
          </w:tcPr>
          <w:p w14:paraId="48C6765B"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Servicios</w:t>
            </w:r>
          </w:p>
        </w:tc>
        <w:tc>
          <w:tcPr>
            <w:tcW w:w="2126" w:type="dxa"/>
            <w:vMerge/>
          </w:tcPr>
          <w:p w14:paraId="00B75F2C" w14:textId="77777777" w:rsidR="00CA59F0" w:rsidRPr="00CA59F0" w:rsidRDefault="00CA59F0" w:rsidP="00A479CF">
            <w:pPr>
              <w:jc w:val="both"/>
              <w:rPr>
                <w:rFonts w:ascii="Geomanist" w:eastAsia="Montserrat" w:hAnsi="Geomanist" w:cs="Montserrat"/>
                <w:i/>
                <w:color w:val="000000"/>
                <w:sz w:val="16"/>
                <w:szCs w:val="18"/>
              </w:rPr>
            </w:pPr>
          </w:p>
        </w:tc>
      </w:tr>
      <w:tr w:rsidR="00CA59F0" w:rsidRPr="00CA59F0" w14:paraId="1A2D67D2" w14:textId="77777777" w:rsidTr="00A479CF">
        <w:trPr>
          <w:jc w:val="center"/>
        </w:trPr>
        <w:tc>
          <w:tcPr>
            <w:tcW w:w="959" w:type="dxa"/>
          </w:tcPr>
          <w:p w14:paraId="212E4D3B"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3</w:t>
            </w:r>
          </w:p>
        </w:tc>
        <w:tc>
          <w:tcPr>
            <w:tcW w:w="2048" w:type="dxa"/>
          </w:tcPr>
          <w:p w14:paraId="08559928" w14:textId="77777777" w:rsidR="00CA59F0" w:rsidRPr="00CA59F0" w:rsidRDefault="00CA59F0" w:rsidP="00A479CF">
            <w:pPr>
              <w:jc w:val="both"/>
              <w:rPr>
                <w:rFonts w:ascii="Geomanist" w:eastAsia="Montserrat" w:hAnsi="Geomanist" w:cs="Montserrat"/>
                <w:i/>
                <w:color w:val="000000"/>
                <w:sz w:val="16"/>
                <w:szCs w:val="18"/>
              </w:rPr>
            </w:pPr>
            <w:r w:rsidRPr="00CA59F0">
              <w:rPr>
                <w:rFonts w:ascii="Geomanist" w:eastAsia="Montserrat" w:hAnsi="Geomanist" w:cs="Montserrat"/>
                <w:i/>
                <w:color w:val="000000"/>
                <w:sz w:val="16"/>
                <w:szCs w:val="18"/>
              </w:rPr>
              <w:t>Arrendamientos</w:t>
            </w:r>
          </w:p>
        </w:tc>
        <w:tc>
          <w:tcPr>
            <w:tcW w:w="2126" w:type="dxa"/>
            <w:vMerge/>
          </w:tcPr>
          <w:p w14:paraId="56E13EA7" w14:textId="77777777" w:rsidR="00CA59F0" w:rsidRPr="00CA59F0" w:rsidRDefault="00CA59F0" w:rsidP="00A479CF">
            <w:pPr>
              <w:jc w:val="both"/>
              <w:rPr>
                <w:rFonts w:ascii="Geomanist" w:eastAsia="Montserrat" w:hAnsi="Geomanist" w:cs="Montserrat"/>
                <w:i/>
                <w:color w:val="000000"/>
                <w:sz w:val="16"/>
                <w:szCs w:val="18"/>
              </w:rPr>
            </w:pPr>
          </w:p>
        </w:tc>
      </w:tr>
    </w:tbl>
    <w:p w14:paraId="45DA6A5D" w14:textId="77777777" w:rsidR="007C28C5" w:rsidRDefault="007C28C5" w:rsidP="00CA59F0">
      <w:pPr>
        <w:jc w:val="both"/>
        <w:rPr>
          <w:rFonts w:ascii="Geomanist" w:hAnsi="Geomanist"/>
          <w:sz w:val="21"/>
          <w:szCs w:val="21"/>
          <w:lang w:val="es-MX"/>
        </w:rPr>
      </w:pPr>
    </w:p>
    <w:p w14:paraId="76F7AFF7" w14:textId="618EFF06" w:rsidR="00CA59F0" w:rsidRPr="00CA59F0" w:rsidRDefault="00CA59F0" w:rsidP="00CA59F0">
      <w:pPr>
        <w:jc w:val="both"/>
        <w:rPr>
          <w:rFonts w:ascii="Geomanist" w:hAnsi="Geomanist"/>
          <w:sz w:val="21"/>
          <w:szCs w:val="21"/>
          <w:lang w:val="es-MX"/>
        </w:rPr>
      </w:pPr>
      <w:r w:rsidRPr="00CA59F0">
        <w:rPr>
          <w:rFonts w:ascii="Geomanist" w:hAnsi="Geomanist"/>
          <w:sz w:val="21"/>
          <w:szCs w:val="21"/>
          <w:lang w:val="es-MX"/>
        </w:rPr>
        <w:t xml:space="preserve">Este mismo precepto normativo en el último párrafo prevé una excepción a la regla general anteriormente descrita, consistente en: “…Atendiendo a la naturaleza del bien, arrendamiento o servicio, el Área Requirente podrá determinar un rango mayor, previa </w:t>
      </w:r>
      <w:r w:rsidRPr="00A710EB">
        <w:rPr>
          <w:rFonts w:ascii="Geomanist" w:hAnsi="Geomanist"/>
          <w:b/>
          <w:bCs/>
          <w:i/>
          <w:iCs/>
          <w:sz w:val="21"/>
          <w:szCs w:val="21"/>
          <w:u w:val="single"/>
          <w:lang w:val="es-MX"/>
        </w:rPr>
        <w:t>justificación</w:t>
      </w:r>
      <w:r w:rsidRPr="00CA59F0">
        <w:rPr>
          <w:rFonts w:ascii="Geomanist" w:hAnsi="Geomanist"/>
          <w:sz w:val="21"/>
          <w:szCs w:val="21"/>
          <w:lang w:val="es-MX"/>
        </w:rPr>
        <w:t xml:space="preserve"> que obre en el expediente de contratación…”.</w:t>
      </w:r>
    </w:p>
    <w:p w14:paraId="17267CA3" w14:textId="77777777" w:rsidR="00CA59F0" w:rsidRPr="00CA59F0" w:rsidRDefault="00CA59F0" w:rsidP="00CA59F0">
      <w:pPr>
        <w:jc w:val="both"/>
        <w:rPr>
          <w:rFonts w:ascii="Geomanist" w:hAnsi="Geomanist"/>
          <w:sz w:val="21"/>
          <w:szCs w:val="21"/>
          <w:lang w:val="es-MX"/>
        </w:rPr>
      </w:pPr>
    </w:p>
    <w:p w14:paraId="0ABBB767" w14:textId="77777777"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 xml:space="preserve">Es necesario a esta Unidad de Comunicación Social determinar un rango mayor al establecido por regla general, ya que con base en la experiencia de ejercicios anteriores, en los cuales se previó un porcentaje menor, los proveedores de servicios ante la solicitud del área técnica para presentar los testigos al estar próximo a vencer el plazo establecido, manifestaron la preferencia en la aplicación de sanciones en razón de que al medio no le resultaba oneroso el monto de las sanciones en contraste con la utilidad global que representaba el contrato. </w:t>
      </w:r>
    </w:p>
    <w:p w14:paraId="5E779C9E" w14:textId="77777777" w:rsidR="00A710EB" w:rsidRPr="00A710EB" w:rsidRDefault="00A710EB" w:rsidP="00A710EB">
      <w:pPr>
        <w:jc w:val="both"/>
        <w:rPr>
          <w:rFonts w:ascii="Geomanist" w:hAnsi="Geomanist"/>
          <w:sz w:val="21"/>
          <w:szCs w:val="21"/>
          <w:lang w:val="es-MX"/>
        </w:rPr>
      </w:pPr>
    </w:p>
    <w:p w14:paraId="2DC04E10" w14:textId="5598FAB7"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 xml:space="preserve">No obstante, los administradores de los contratos con los medios, en su carácter de servidores públicos, además de tener la responsabilidad de verificar el cumplimiento del servicio, a su vez tienen la carga administrativa respecto del cumplimiento de la Estrategia y Programa Anual de Comunicación Social </w:t>
      </w:r>
      <w:r w:rsidR="00F5215A">
        <w:rPr>
          <w:rFonts w:ascii="Geomanist" w:hAnsi="Geomanist"/>
          <w:sz w:val="21"/>
          <w:szCs w:val="21"/>
          <w:lang w:val="es-MX"/>
        </w:rPr>
        <w:t>2026</w:t>
      </w:r>
      <w:r w:rsidRPr="00A710EB">
        <w:rPr>
          <w:rFonts w:ascii="Geomanist" w:hAnsi="Geomanist"/>
          <w:sz w:val="21"/>
          <w:szCs w:val="21"/>
          <w:lang w:val="es-MX"/>
        </w:rPr>
        <w:t xml:space="preserve"> del Instituto Mexicano del Seguro Social, toda vez que el incumplimiento de los servicios no resulta solamente en un atraso o daño económico al Instituto, que se subsana con una sanción económica, sino que el incumplimiento menoscaba el alcance, cobertura geográfica, accesibilidad, especialidad, destinatarios, audiencia, rating, de la mezcla de los medios seleccionados para que los mensajes institucionales previstos en la Estrategia y Programa Anual de Comunicación Social </w:t>
      </w:r>
      <w:r w:rsidR="00F5215A">
        <w:rPr>
          <w:rFonts w:ascii="Geomanist" w:hAnsi="Geomanist"/>
          <w:sz w:val="21"/>
          <w:szCs w:val="21"/>
          <w:lang w:val="es-MX"/>
        </w:rPr>
        <w:t>2026</w:t>
      </w:r>
      <w:r w:rsidRPr="00A710EB">
        <w:rPr>
          <w:rFonts w:ascii="Geomanist" w:hAnsi="Geomanist"/>
          <w:sz w:val="21"/>
          <w:szCs w:val="21"/>
          <w:lang w:val="es-MX"/>
        </w:rPr>
        <w:t xml:space="preserve">, lleguen a la población objetivo que se requiere. </w:t>
      </w:r>
    </w:p>
    <w:p w14:paraId="457F8E89" w14:textId="77777777" w:rsidR="00A710EB" w:rsidRPr="00A710EB" w:rsidRDefault="00A710EB" w:rsidP="00A710EB">
      <w:pPr>
        <w:jc w:val="both"/>
        <w:rPr>
          <w:rFonts w:ascii="Geomanist" w:hAnsi="Geomanist"/>
          <w:sz w:val="21"/>
          <w:szCs w:val="21"/>
          <w:lang w:val="es-MX"/>
        </w:rPr>
      </w:pPr>
    </w:p>
    <w:p w14:paraId="498BE5A0" w14:textId="77777777"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La naturaleza de los servicios es un factor determinante para la necesidad de introducir como elemento coercitivo de cumplimiento para los medios, el incremento del porcentaje de las sanciones contractuales, ya que por ejemplo, cuando se programa una pauta para un programa con cierto nivel de audiencia, cobertura y público objetivo, en el caso de que se actualice una pena convencional por atraso, aunque el proveedor lo transmita en condiciones similares a la de la orden, en algunos casos la falta, podría considerarse de imposible reparación ya que podría tratarse de un programa especial que no forma parte de la programación habitual del canal o medio de que se trate, y por lo tanto el impacto, cobertura, alcance, y/o público objetivo no cumplirá con los niveles de impacto necesarios.</w:t>
      </w:r>
    </w:p>
    <w:p w14:paraId="16F50C62" w14:textId="77777777" w:rsidR="00A710EB" w:rsidRPr="00A710EB" w:rsidRDefault="00A710EB" w:rsidP="00A710EB">
      <w:pPr>
        <w:jc w:val="both"/>
        <w:rPr>
          <w:rFonts w:ascii="Geomanist" w:hAnsi="Geomanist"/>
          <w:sz w:val="21"/>
          <w:szCs w:val="21"/>
          <w:lang w:val="es-MX"/>
        </w:rPr>
      </w:pPr>
    </w:p>
    <w:p w14:paraId="51E8DC99" w14:textId="57B99E58"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 xml:space="preserve">También se reportaron casos en ejercicios fiscales anteriores, en los que los proveedores sí habían cumplido con la transmisión o inserción establecida en la orden, pero no presentaban en tiempo la comprobación del servicio a través de testigos, lo cual, para los administradores de los contratos y el personal institucional a su cargo, debido al volumen, impacta en la carga administrativa y el control del </w:t>
      </w:r>
      <w:r w:rsidRPr="00A710EB">
        <w:rPr>
          <w:rFonts w:ascii="Geomanist" w:hAnsi="Geomanist"/>
          <w:sz w:val="21"/>
          <w:szCs w:val="21"/>
          <w:lang w:val="es-MX"/>
        </w:rPr>
        <w:lastRenderedPageBreak/>
        <w:t>presupuesto en materia de comunicación social (ya que se trata de contratos en modalidad abierta) lo que obstaculiza los procesos de gestión y desarrollo de la vida de los contratos.</w:t>
      </w:r>
    </w:p>
    <w:p w14:paraId="00DDCBDC" w14:textId="77777777" w:rsidR="00B43BFE" w:rsidRDefault="00B43BFE" w:rsidP="00A710EB">
      <w:pPr>
        <w:jc w:val="both"/>
        <w:rPr>
          <w:rFonts w:ascii="Geomanist" w:hAnsi="Geomanist"/>
          <w:sz w:val="21"/>
          <w:szCs w:val="21"/>
          <w:lang w:val="es-MX"/>
        </w:rPr>
      </w:pPr>
    </w:p>
    <w:p w14:paraId="26EF5080" w14:textId="0FCB2F2F"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A mayor abundamiento de lo anterior, la determinación de las penas y deductivas se encuentra supeditada a determinar y acreditar la fecha de recepción de testigos, lo cual fue materia del cumplimiento de las acciones correctivas y preventivas en respuesta a dos Cédulas de Observaciones de la Auditoría 129/2020, “al rubro de Adquisiciones, Arrendamientos y Servicios, cumplimiento de contratos de comunicación social” emitidas mediante similar No. 0952 8061 4B30/02/050/2021, expedido por la División de Análisis, Supervisión y Evaluación de Auditoría dependiente de la Coordinación de Atención a Órganos Fiscalizadores; resultando imperativo con ello, a esta requirente, robustecer la coercitividad de la entrega de testigos y el sellado en la recepción de los mismos.</w:t>
      </w:r>
    </w:p>
    <w:p w14:paraId="23FEBDE5" w14:textId="77777777" w:rsidR="00B43BFE" w:rsidRDefault="00B43BFE" w:rsidP="00A710EB">
      <w:pPr>
        <w:jc w:val="both"/>
        <w:rPr>
          <w:rFonts w:ascii="Geomanist" w:hAnsi="Geomanist"/>
          <w:sz w:val="21"/>
          <w:szCs w:val="21"/>
          <w:lang w:val="es-MX"/>
        </w:rPr>
      </w:pPr>
    </w:p>
    <w:p w14:paraId="2447B148" w14:textId="7938A3A3"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En ese sentido, queda plenamente acreditada la necesidad de incrementar el rango del porcentaje establecido para las penas convencionales y deductivas, dada la naturaleza del servicio que nos ocupa, para que de esta forma ante esta previsión contractual resulte oneroso a los medios de comunicación actualizar durante la vida del contrato la aplicación de penas convencionales y deductivas y de esta forma el Instituto cuente con una facultad coercitiva para realmente exigir la prestación de los servicios en los términos establecidos.</w:t>
      </w:r>
    </w:p>
    <w:p w14:paraId="4ED3F9FB" w14:textId="77777777" w:rsidR="00B43BFE" w:rsidRPr="00A710EB" w:rsidRDefault="00B43BFE" w:rsidP="00A710EB">
      <w:pPr>
        <w:jc w:val="both"/>
        <w:rPr>
          <w:rFonts w:ascii="Geomanist" w:hAnsi="Geomanist"/>
          <w:sz w:val="21"/>
          <w:szCs w:val="21"/>
          <w:lang w:val="es-MX"/>
        </w:rPr>
      </w:pPr>
    </w:p>
    <w:p w14:paraId="6D6DFE41" w14:textId="77777777"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De esta forma, el cumplimiento de las contraprestaciones contractuales establecidas en materia de Adquisiciones, coadyuvan al cumplimiento de las metas institucionales en materia de comunicación social, y con ello el uso racional del gasto público para que éste logre el fin para el cual se programó y destinó.</w:t>
      </w:r>
    </w:p>
    <w:p w14:paraId="2FC0011F" w14:textId="77777777" w:rsidR="00A710EB" w:rsidRDefault="00A710EB" w:rsidP="00A710EB">
      <w:pPr>
        <w:jc w:val="both"/>
        <w:rPr>
          <w:rFonts w:ascii="Geomanist" w:hAnsi="Geomanist"/>
          <w:sz w:val="21"/>
          <w:szCs w:val="21"/>
          <w:lang w:val="es-MX"/>
        </w:rPr>
      </w:pPr>
    </w:p>
    <w:p w14:paraId="73F7BF53" w14:textId="216D7533" w:rsidR="00A710EB" w:rsidRPr="00A710EB" w:rsidRDefault="00A710EB" w:rsidP="00A710EB">
      <w:pPr>
        <w:jc w:val="both"/>
        <w:rPr>
          <w:rFonts w:ascii="Geomanist" w:hAnsi="Geomanist"/>
          <w:sz w:val="21"/>
          <w:szCs w:val="21"/>
          <w:lang w:val="es-MX"/>
        </w:rPr>
      </w:pPr>
      <w:r w:rsidRPr="00A710EB">
        <w:rPr>
          <w:rFonts w:ascii="Geomanist" w:hAnsi="Geomanist"/>
          <w:sz w:val="21"/>
          <w:szCs w:val="21"/>
          <w:lang w:val="es-MX"/>
        </w:rPr>
        <w:t xml:space="preserve">Con base en las consideraciones normativas anteriormente expuestas, esta Unidad de Comunicación Social determina procedente el incremento en el rango de porcentaje máximo establecido por regla general para la aplicación de penas convencionales y deductivas, por encontrarse acreditada la excepción prevista en el último párrafo del inciso e, del apartado 5.5.8, de las POBALINES, atendiendo a la naturaleza del SERVICIO DE DIFUSIÓN DE LAS CAMPAÑAS INSTITUCIONALES </w:t>
      </w:r>
      <w:r w:rsidR="00F5215A">
        <w:rPr>
          <w:rFonts w:ascii="Geomanist" w:hAnsi="Geomanist"/>
          <w:sz w:val="21"/>
          <w:szCs w:val="21"/>
          <w:lang w:val="es-MX"/>
        </w:rPr>
        <w:t>2026</w:t>
      </w:r>
      <w:r w:rsidRPr="00A710EB">
        <w:rPr>
          <w:rFonts w:ascii="Geomanist" w:hAnsi="Geomanist"/>
          <w:sz w:val="21"/>
          <w:szCs w:val="21"/>
          <w:lang w:val="es-MX"/>
        </w:rPr>
        <w:t>, A TRAVÉS DE MEDIOS DE COMUNICACIÓN ELECTRÓNICOS, IMPRESOS, DIGITALES Y COMPLEMENTARIOS.</w:t>
      </w:r>
    </w:p>
    <w:p w14:paraId="18E94A27" w14:textId="77777777" w:rsidR="00B43BFE" w:rsidRDefault="00B43BFE" w:rsidP="00EE05D8">
      <w:pPr>
        <w:spacing w:line="360" w:lineRule="auto"/>
        <w:jc w:val="both"/>
        <w:rPr>
          <w:rFonts w:ascii="Geomanist" w:hAnsi="Geomanist"/>
          <w:sz w:val="21"/>
          <w:szCs w:val="21"/>
          <w:lang w:val="es-MX"/>
        </w:rPr>
      </w:pPr>
    </w:p>
    <w:p w14:paraId="1A52ABE1" w14:textId="010466AE" w:rsidR="00D32AC0" w:rsidRPr="00D32AC0" w:rsidRDefault="00D32AC0" w:rsidP="0037680B">
      <w:pPr>
        <w:spacing w:line="276" w:lineRule="auto"/>
        <w:ind w:left="705" w:hanging="705"/>
        <w:jc w:val="both"/>
        <w:rPr>
          <w:rFonts w:ascii="Geomanist" w:hAnsi="Geomanist"/>
          <w:b/>
          <w:bCs/>
          <w:sz w:val="21"/>
          <w:szCs w:val="21"/>
          <w:lang w:val="es-MX"/>
        </w:rPr>
      </w:pPr>
      <w:r w:rsidRPr="00D32AC0">
        <w:rPr>
          <w:rFonts w:ascii="Geomanist" w:hAnsi="Geomanist"/>
          <w:b/>
          <w:bCs/>
          <w:sz w:val="21"/>
          <w:szCs w:val="21"/>
          <w:lang w:val="es-MX"/>
        </w:rPr>
        <w:t xml:space="preserve">i) </w:t>
      </w:r>
      <w:r w:rsidR="0037680B">
        <w:rPr>
          <w:rFonts w:ascii="Geomanist" w:hAnsi="Geomanist"/>
          <w:b/>
          <w:bCs/>
          <w:sz w:val="21"/>
          <w:szCs w:val="21"/>
          <w:lang w:val="es-MX"/>
        </w:rPr>
        <w:tab/>
      </w:r>
      <w:r w:rsidRPr="00D32AC0">
        <w:rPr>
          <w:rFonts w:ascii="Geomanist" w:hAnsi="Geomanist"/>
          <w:b/>
          <w:bCs/>
          <w:sz w:val="21"/>
          <w:szCs w:val="21"/>
          <w:lang w:val="es-MX"/>
        </w:rPr>
        <w:t xml:space="preserve">En su caso, mecanismos requeridos al proveedor para responder por defectos o vicios ocultos de los bienes o de la calidad de los servicios. </w:t>
      </w:r>
      <w:r w:rsidRPr="00D32AC0">
        <w:rPr>
          <w:rFonts w:ascii="Geomanist" w:hAnsi="Geomanist"/>
          <w:sz w:val="21"/>
          <w:szCs w:val="21"/>
          <w:lang w:val="es-MX"/>
        </w:rPr>
        <w:t>No aplica.</w:t>
      </w:r>
    </w:p>
    <w:p w14:paraId="70989AD8" w14:textId="77777777" w:rsidR="00D32AC0" w:rsidRPr="00D32AC0" w:rsidRDefault="00D32AC0" w:rsidP="00D32AC0">
      <w:pPr>
        <w:spacing w:line="276" w:lineRule="auto"/>
        <w:jc w:val="both"/>
        <w:rPr>
          <w:rFonts w:ascii="Geomanist" w:hAnsi="Geomanist"/>
          <w:b/>
          <w:bCs/>
          <w:sz w:val="21"/>
          <w:szCs w:val="21"/>
          <w:lang w:val="es-MX"/>
        </w:rPr>
      </w:pPr>
    </w:p>
    <w:p w14:paraId="297954F2" w14:textId="20E3E2ED" w:rsidR="00D32AC0" w:rsidRPr="00D32AC0" w:rsidRDefault="00D32AC0" w:rsidP="0037680B">
      <w:pPr>
        <w:spacing w:line="276" w:lineRule="auto"/>
        <w:ind w:left="705" w:hanging="705"/>
        <w:jc w:val="both"/>
        <w:rPr>
          <w:rFonts w:ascii="Geomanist" w:hAnsi="Geomanist"/>
          <w:b/>
          <w:bCs/>
          <w:sz w:val="21"/>
          <w:szCs w:val="21"/>
          <w:lang w:val="es-MX"/>
        </w:rPr>
      </w:pPr>
      <w:r w:rsidRPr="00D32AC0">
        <w:rPr>
          <w:rFonts w:ascii="Geomanist" w:hAnsi="Geomanist"/>
          <w:b/>
          <w:bCs/>
          <w:sz w:val="21"/>
          <w:szCs w:val="21"/>
          <w:lang w:val="es-MX"/>
        </w:rPr>
        <w:t xml:space="preserve">j) </w:t>
      </w:r>
      <w:r w:rsidR="0037680B">
        <w:rPr>
          <w:rFonts w:ascii="Geomanist" w:hAnsi="Geomanist"/>
          <w:b/>
          <w:bCs/>
          <w:sz w:val="21"/>
          <w:szCs w:val="21"/>
          <w:lang w:val="es-MX"/>
        </w:rPr>
        <w:tab/>
      </w:r>
      <w:r w:rsidRPr="00D32AC0">
        <w:rPr>
          <w:rFonts w:ascii="Geomanist" w:hAnsi="Geomanist"/>
          <w:b/>
          <w:bCs/>
          <w:sz w:val="21"/>
          <w:szCs w:val="21"/>
          <w:lang w:val="es-MX"/>
        </w:rPr>
        <w:t>Las garantías de anticipos y cumplimiento, deberán de apegarse al numeral 4.30.1, penúltimo párrafo de estas POBALINES, así como la calidad de servicios y de operación y funcionamiento, que en su caso apliquen</w:t>
      </w:r>
      <w:r>
        <w:rPr>
          <w:rFonts w:ascii="Geomanist" w:hAnsi="Geomanist"/>
          <w:b/>
          <w:bCs/>
          <w:sz w:val="21"/>
          <w:szCs w:val="21"/>
          <w:lang w:val="es-MX"/>
        </w:rPr>
        <w:t xml:space="preserve">. </w:t>
      </w:r>
      <w:r w:rsidRPr="00D32AC0">
        <w:rPr>
          <w:rFonts w:ascii="Geomanist" w:hAnsi="Geomanist"/>
          <w:sz w:val="21"/>
          <w:szCs w:val="21"/>
          <w:lang w:val="es-MX"/>
        </w:rPr>
        <w:t>No aplica.</w:t>
      </w:r>
      <w:r w:rsidRPr="00D32AC0">
        <w:rPr>
          <w:rFonts w:ascii="Geomanist" w:hAnsi="Geomanist"/>
          <w:b/>
          <w:bCs/>
          <w:sz w:val="21"/>
          <w:szCs w:val="21"/>
          <w:lang w:val="es-MX"/>
        </w:rPr>
        <w:t xml:space="preserve"> </w:t>
      </w:r>
    </w:p>
    <w:p w14:paraId="1A3ADE04" w14:textId="77777777" w:rsidR="00D32AC0" w:rsidRDefault="00D32AC0" w:rsidP="00EE05D8">
      <w:pPr>
        <w:spacing w:line="276" w:lineRule="auto"/>
        <w:jc w:val="both"/>
        <w:rPr>
          <w:rFonts w:ascii="Geomanist" w:hAnsi="Geomanist"/>
          <w:b/>
          <w:bCs/>
          <w:sz w:val="21"/>
          <w:szCs w:val="21"/>
          <w:lang w:val="es-MX"/>
        </w:rPr>
      </w:pPr>
    </w:p>
    <w:p w14:paraId="10F95B6E" w14:textId="77777777" w:rsidR="00B43BFE" w:rsidRDefault="00B43BFE" w:rsidP="00EE05D8">
      <w:pPr>
        <w:spacing w:line="276" w:lineRule="auto"/>
        <w:jc w:val="both"/>
        <w:rPr>
          <w:rFonts w:ascii="Geomanist" w:hAnsi="Geomanist"/>
          <w:b/>
          <w:bCs/>
          <w:sz w:val="21"/>
          <w:szCs w:val="21"/>
          <w:lang w:val="es-MX"/>
        </w:rPr>
      </w:pPr>
    </w:p>
    <w:p w14:paraId="191C7236" w14:textId="77777777" w:rsidR="00B43BFE" w:rsidRDefault="00B43BFE" w:rsidP="00EE05D8">
      <w:pPr>
        <w:spacing w:line="276" w:lineRule="auto"/>
        <w:jc w:val="both"/>
        <w:rPr>
          <w:rFonts w:ascii="Geomanist" w:hAnsi="Geomanist"/>
          <w:b/>
          <w:bCs/>
          <w:sz w:val="21"/>
          <w:szCs w:val="21"/>
          <w:lang w:val="es-MX"/>
        </w:rPr>
      </w:pPr>
    </w:p>
    <w:p w14:paraId="4C2BB7CE" w14:textId="77777777" w:rsidR="00B43BFE" w:rsidRDefault="00B43BFE" w:rsidP="00EE05D8">
      <w:pPr>
        <w:spacing w:line="276" w:lineRule="auto"/>
        <w:jc w:val="both"/>
        <w:rPr>
          <w:rFonts w:ascii="Geomanist" w:hAnsi="Geomanist"/>
          <w:b/>
          <w:bCs/>
          <w:sz w:val="21"/>
          <w:szCs w:val="21"/>
          <w:lang w:val="es-MX"/>
        </w:rPr>
      </w:pPr>
    </w:p>
    <w:p w14:paraId="01B8459D" w14:textId="77777777" w:rsidR="00B43BFE" w:rsidRDefault="00B43BFE" w:rsidP="00EE05D8">
      <w:pPr>
        <w:spacing w:line="276" w:lineRule="auto"/>
        <w:jc w:val="both"/>
        <w:rPr>
          <w:rFonts w:ascii="Geomanist" w:hAnsi="Geomanist"/>
          <w:b/>
          <w:bCs/>
          <w:sz w:val="21"/>
          <w:szCs w:val="21"/>
          <w:lang w:val="es-MX"/>
        </w:rPr>
      </w:pPr>
    </w:p>
    <w:p w14:paraId="5143B860" w14:textId="5C8F5A05" w:rsidR="00EE05D8" w:rsidRDefault="00D32AC0" w:rsidP="00EE05D8">
      <w:pPr>
        <w:spacing w:line="276" w:lineRule="auto"/>
        <w:jc w:val="both"/>
        <w:rPr>
          <w:rFonts w:ascii="Geomanist" w:hAnsi="Geomanist"/>
          <w:b/>
          <w:bCs/>
          <w:sz w:val="21"/>
          <w:szCs w:val="21"/>
          <w:lang w:val="es-MX"/>
        </w:rPr>
      </w:pPr>
      <w:r>
        <w:rPr>
          <w:rFonts w:ascii="Geomanist" w:hAnsi="Geomanist"/>
          <w:b/>
          <w:bCs/>
          <w:sz w:val="21"/>
          <w:szCs w:val="21"/>
          <w:lang w:val="es-MX"/>
        </w:rPr>
        <w:t xml:space="preserve">J.1. </w:t>
      </w:r>
      <w:r w:rsidR="00EE05D8" w:rsidRPr="00EE05D8">
        <w:rPr>
          <w:rFonts w:ascii="Geomanist" w:hAnsi="Geomanist"/>
          <w:b/>
          <w:bCs/>
          <w:sz w:val="21"/>
          <w:szCs w:val="21"/>
          <w:lang w:val="es-MX"/>
        </w:rPr>
        <w:t>Garantía de cumplimiento.</w:t>
      </w:r>
    </w:p>
    <w:p w14:paraId="1FA91138" w14:textId="77777777" w:rsidR="00D32AC0" w:rsidRPr="00EE05D8" w:rsidRDefault="00D32AC0" w:rsidP="00EE05D8">
      <w:pPr>
        <w:spacing w:line="276" w:lineRule="auto"/>
        <w:jc w:val="both"/>
        <w:rPr>
          <w:rFonts w:ascii="Geomanist" w:hAnsi="Geomanist"/>
          <w:b/>
          <w:bCs/>
          <w:sz w:val="21"/>
          <w:szCs w:val="21"/>
          <w:lang w:val="es-MX"/>
        </w:rPr>
      </w:pPr>
    </w:p>
    <w:p w14:paraId="16C16215" w14:textId="0B985CC3"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Para garantizar el cumplimiento de las obligaciones estipuladas en el contrato adjudicado, el proveedor deberá presentar en la División de Contratos dependiente de la Coordinación Técnica de Planeación y Contratos, póliza de fianza, expedida por afianzadora debidamente constituida en términos de la Ley de Instituciones de Seguros y Fianzas, dentro de los diez días naturales siguientes a la firma del contrato respectivo, para garantizar el cumplimiento de todas y cada una de las obligaciones a su cargo derivadas del contrato adjudicado, a favor del Instituto Mexicano del Seguro Social por un monto equivalente al 10% por ciento sobre el importe máximo del contrato, sin incluir el Impuesto al Valor agregado (I.V.A.), en moneda nacional de conformidad con lo establecido en el artículo </w:t>
      </w:r>
      <w:r w:rsidR="00F71168" w:rsidRPr="005E536D">
        <w:rPr>
          <w:rFonts w:ascii="Geomanist" w:hAnsi="Geomanist"/>
          <w:sz w:val="21"/>
          <w:szCs w:val="21"/>
          <w:lang w:val="es-MX"/>
        </w:rPr>
        <w:t>6</w:t>
      </w:r>
      <w:r w:rsidR="00FA4CE1">
        <w:rPr>
          <w:rFonts w:ascii="Geomanist" w:hAnsi="Geomanist"/>
          <w:sz w:val="21"/>
          <w:szCs w:val="21"/>
          <w:lang w:val="es-MX"/>
        </w:rPr>
        <w:t>6</w:t>
      </w:r>
      <w:r w:rsidR="00F71168" w:rsidRPr="005E536D">
        <w:rPr>
          <w:rFonts w:ascii="Geomanist" w:hAnsi="Geomanist"/>
          <w:sz w:val="21"/>
          <w:szCs w:val="21"/>
          <w:lang w:val="es-MX"/>
        </w:rPr>
        <w:t>, fracción II,</w:t>
      </w:r>
      <w:r w:rsidRPr="005E536D">
        <w:rPr>
          <w:rFonts w:ascii="Geomanist" w:hAnsi="Geomanist"/>
          <w:sz w:val="21"/>
          <w:szCs w:val="21"/>
          <w:lang w:val="es-MX"/>
        </w:rPr>
        <w:t xml:space="preserve"> de la Ley de Adquisiciones</w:t>
      </w:r>
      <w:r w:rsidRPr="00EE05D8">
        <w:rPr>
          <w:rFonts w:ascii="Geomanist" w:hAnsi="Geomanist"/>
          <w:sz w:val="21"/>
          <w:szCs w:val="21"/>
          <w:lang w:val="es-MX"/>
        </w:rPr>
        <w:t xml:space="preserve">, Arrendamientos y Servicios del Sector Público; además de que dicha garantía será divisible con fundamento en el artículo </w:t>
      </w:r>
      <w:r w:rsidR="00FA4CE1">
        <w:rPr>
          <w:rFonts w:ascii="Geomanist" w:hAnsi="Geomanist"/>
          <w:sz w:val="21"/>
          <w:szCs w:val="21"/>
          <w:lang w:val="es-MX"/>
        </w:rPr>
        <w:t>126</w:t>
      </w:r>
      <w:r w:rsidRPr="00EE05D8">
        <w:rPr>
          <w:rFonts w:ascii="Geomanist" w:hAnsi="Geomanist"/>
          <w:sz w:val="21"/>
          <w:szCs w:val="21"/>
          <w:lang w:val="es-MX"/>
        </w:rPr>
        <w:t xml:space="preserve"> del Reglamento de la Ley de Adquisiciones, Arrendamientos y Servicios del Sector Público.</w:t>
      </w:r>
    </w:p>
    <w:p w14:paraId="11651091" w14:textId="77777777" w:rsidR="00B43BFE" w:rsidRDefault="00B43BFE" w:rsidP="00EE05D8">
      <w:pPr>
        <w:spacing w:line="276" w:lineRule="auto"/>
        <w:jc w:val="both"/>
        <w:rPr>
          <w:rFonts w:ascii="Geomanist" w:hAnsi="Geomanist"/>
          <w:sz w:val="21"/>
          <w:szCs w:val="21"/>
          <w:lang w:val="es-MX"/>
        </w:rPr>
      </w:pPr>
    </w:p>
    <w:p w14:paraId="0D384D77" w14:textId="24259881"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La fianza permanecerá vigente durante el cumplimiento de la obligación que garantiza y continuará vigente en caso de que se otorgue prórroga al cumplimiento del contrato, o hasta en tanto el proveedor restituya al instituto los saldos a su cargo que se detecten al realizarse el finiquito a que alude la fracción III, del artículo 1</w:t>
      </w:r>
      <w:r w:rsidR="00FA4CE1">
        <w:rPr>
          <w:rFonts w:ascii="Geomanist" w:hAnsi="Geomanist"/>
          <w:sz w:val="21"/>
          <w:szCs w:val="21"/>
          <w:lang w:val="es-MX"/>
        </w:rPr>
        <w:t>51</w:t>
      </w:r>
      <w:r w:rsidRPr="00EE05D8">
        <w:rPr>
          <w:rFonts w:ascii="Geomanist" w:hAnsi="Geomanist"/>
          <w:sz w:val="21"/>
          <w:szCs w:val="21"/>
          <w:lang w:val="es-MX"/>
        </w:rPr>
        <w:t xml:space="preserve"> del Reglamento de la Ley de Adquisiciones, Arrendamientos y Servicios del Sector Público, así como durante la substanciación de todos los recursos legales o de los juicios que se interpongan y hasta que se dicte resolución definitiva que quede firme.</w:t>
      </w:r>
    </w:p>
    <w:p w14:paraId="4E88072E" w14:textId="77777777" w:rsidR="00EE05D8" w:rsidRDefault="00EE05D8" w:rsidP="00EE05D8">
      <w:pPr>
        <w:spacing w:line="276" w:lineRule="auto"/>
        <w:jc w:val="both"/>
        <w:rPr>
          <w:rFonts w:ascii="Geomanist" w:hAnsi="Geomanist"/>
          <w:sz w:val="21"/>
          <w:szCs w:val="21"/>
          <w:lang w:val="es-MX"/>
        </w:rPr>
      </w:pPr>
    </w:p>
    <w:p w14:paraId="61B95738" w14:textId="4AA73213"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En caso de que se actualice lo establecido en la fracción III, del artículo 1</w:t>
      </w:r>
      <w:r w:rsidR="00FA4CE1">
        <w:rPr>
          <w:rFonts w:ascii="Geomanist" w:hAnsi="Geomanist"/>
          <w:sz w:val="21"/>
          <w:szCs w:val="21"/>
          <w:lang w:val="es-MX"/>
        </w:rPr>
        <w:t>51</w:t>
      </w:r>
      <w:r w:rsidRPr="00EE05D8">
        <w:rPr>
          <w:rFonts w:ascii="Geomanist" w:hAnsi="Geomanist"/>
          <w:sz w:val="21"/>
          <w:szCs w:val="21"/>
          <w:lang w:val="es-MX"/>
        </w:rPr>
        <w:t xml:space="preserve"> del Reglamento de la Ley de Adquisiciones, Arrendamientos y Servicios del Sector Público, si en ese momento procesal no es posible realizar retención sobre el CFDI que se presente para pago, los saldos a cargo del proveedor se constituirán en pago en exceso, y en consecuencia el proveedor deberá reintegrar las cantidades que se determinen, más los intereses correspondientes conforme a la tasa que establezca la Ley de Ingresos de la Federación.</w:t>
      </w:r>
    </w:p>
    <w:p w14:paraId="4E058A3F" w14:textId="77777777" w:rsidR="00F437B1" w:rsidRPr="00EE05D8" w:rsidRDefault="00F437B1" w:rsidP="00EE05D8">
      <w:pPr>
        <w:spacing w:line="276" w:lineRule="auto"/>
        <w:jc w:val="both"/>
        <w:rPr>
          <w:rFonts w:ascii="Geomanist" w:hAnsi="Geomanist"/>
          <w:sz w:val="21"/>
          <w:szCs w:val="21"/>
          <w:lang w:val="es-MX"/>
        </w:rPr>
      </w:pPr>
    </w:p>
    <w:p w14:paraId="136EDE5A"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Por la naturaleza de los servicios el monto de los saldos a cargo del proveedor será determinado de conformidad con la deductiva establecida el inciso h) (Penas Convencionales y Deducciones) del presente documento, más los intereses conforme a la tasa que establezca la Ley de Ingresos de la Federación los que se computarán por días naturales a partir del pagó en exceso y hasta su reintegro al Instituto Mexicano del Seguro Social.</w:t>
      </w:r>
    </w:p>
    <w:p w14:paraId="28B3A3BB" w14:textId="77777777" w:rsidR="003A40A0" w:rsidRDefault="003A40A0" w:rsidP="0037680B">
      <w:pPr>
        <w:spacing w:line="276" w:lineRule="auto"/>
        <w:ind w:left="705" w:hanging="705"/>
        <w:jc w:val="both"/>
        <w:rPr>
          <w:rFonts w:ascii="Geomanist" w:hAnsi="Geomanist"/>
          <w:b/>
          <w:bCs/>
          <w:sz w:val="21"/>
          <w:szCs w:val="21"/>
          <w:lang w:val="es-MX"/>
        </w:rPr>
      </w:pPr>
    </w:p>
    <w:p w14:paraId="1786D14D" w14:textId="77777777" w:rsidR="007C28C5" w:rsidRDefault="007C28C5" w:rsidP="007C28C5">
      <w:pPr>
        <w:spacing w:line="276" w:lineRule="auto"/>
        <w:ind w:left="284" w:hanging="426"/>
        <w:jc w:val="both"/>
        <w:rPr>
          <w:rFonts w:ascii="Geomanist" w:hAnsi="Geomanist"/>
          <w:b/>
          <w:bCs/>
          <w:sz w:val="21"/>
          <w:szCs w:val="21"/>
          <w:lang w:val="es-MX"/>
        </w:rPr>
      </w:pPr>
      <w:bookmarkStart w:id="0" w:name="_Hlk203592026"/>
    </w:p>
    <w:p w14:paraId="7AF65CE5" w14:textId="77777777" w:rsidR="007C28C5" w:rsidRDefault="007C28C5" w:rsidP="007C28C5">
      <w:pPr>
        <w:spacing w:line="276" w:lineRule="auto"/>
        <w:ind w:left="284" w:hanging="426"/>
        <w:jc w:val="both"/>
        <w:rPr>
          <w:rFonts w:ascii="Geomanist" w:hAnsi="Geomanist"/>
          <w:b/>
          <w:bCs/>
          <w:sz w:val="21"/>
          <w:szCs w:val="21"/>
          <w:lang w:val="es-MX"/>
        </w:rPr>
      </w:pPr>
    </w:p>
    <w:p w14:paraId="139852D6" w14:textId="77777777" w:rsidR="007C28C5" w:rsidRDefault="007C28C5" w:rsidP="007C28C5">
      <w:pPr>
        <w:spacing w:line="276" w:lineRule="auto"/>
        <w:ind w:left="284" w:hanging="426"/>
        <w:jc w:val="both"/>
        <w:rPr>
          <w:rFonts w:ascii="Geomanist" w:hAnsi="Geomanist"/>
          <w:b/>
          <w:bCs/>
          <w:sz w:val="21"/>
          <w:szCs w:val="21"/>
          <w:lang w:val="es-MX"/>
        </w:rPr>
      </w:pPr>
    </w:p>
    <w:p w14:paraId="27C1EEFC" w14:textId="5856C389" w:rsidR="00F437B1" w:rsidRDefault="00F437B1" w:rsidP="007C28C5">
      <w:pPr>
        <w:spacing w:line="276" w:lineRule="auto"/>
        <w:ind w:left="284" w:hanging="426"/>
        <w:jc w:val="both"/>
        <w:rPr>
          <w:rFonts w:ascii="Geomanist" w:hAnsi="Geomanist"/>
          <w:b/>
          <w:bCs/>
          <w:sz w:val="21"/>
          <w:szCs w:val="21"/>
          <w:lang w:val="es-MX"/>
        </w:rPr>
      </w:pPr>
      <w:r w:rsidRPr="00F437B1">
        <w:rPr>
          <w:rFonts w:ascii="Geomanist" w:hAnsi="Geomanist"/>
          <w:b/>
          <w:bCs/>
          <w:sz w:val="21"/>
          <w:szCs w:val="21"/>
          <w:lang w:val="es-MX"/>
        </w:rPr>
        <w:t xml:space="preserve">k) </w:t>
      </w:r>
      <w:r w:rsidR="0037680B">
        <w:rPr>
          <w:rFonts w:ascii="Geomanist" w:hAnsi="Geomanist"/>
          <w:b/>
          <w:bCs/>
          <w:sz w:val="21"/>
          <w:szCs w:val="21"/>
          <w:lang w:val="es-MX"/>
        </w:rPr>
        <w:tab/>
      </w:r>
      <w:r w:rsidRPr="00F437B1">
        <w:rPr>
          <w:rFonts w:ascii="Geomanist" w:hAnsi="Geomanist"/>
          <w:b/>
          <w:bCs/>
          <w:sz w:val="21"/>
          <w:szCs w:val="21"/>
          <w:lang w:val="es-MX"/>
        </w:rPr>
        <w:t>Precisar la forma de pago para lo cual deberán especificar el tipo de moneda y si se realizará en una sola exhibición o en pagos progresivos conforme a las entregas programadas en el contrato respectivo.</w:t>
      </w:r>
    </w:p>
    <w:p w14:paraId="4F2AFAF2" w14:textId="77777777" w:rsidR="003A40A0" w:rsidRDefault="003A40A0" w:rsidP="0037680B">
      <w:pPr>
        <w:spacing w:line="276" w:lineRule="auto"/>
        <w:ind w:left="705" w:hanging="705"/>
        <w:jc w:val="both"/>
        <w:rPr>
          <w:rFonts w:ascii="Geomanist" w:hAnsi="Geomanist"/>
          <w:b/>
          <w:bCs/>
          <w:sz w:val="21"/>
          <w:szCs w:val="21"/>
          <w:lang w:val="es-MX"/>
        </w:rPr>
      </w:pPr>
    </w:p>
    <w:p w14:paraId="660C1A5A" w14:textId="673E55F9" w:rsidR="0018218C" w:rsidRPr="0018218C" w:rsidRDefault="0018218C" w:rsidP="0018218C">
      <w:pPr>
        <w:ind w:left="-142" w:right="-234"/>
        <w:jc w:val="both"/>
        <w:rPr>
          <w:rFonts w:ascii="Geomanist" w:hAnsi="Geomanist"/>
          <w:sz w:val="21"/>
          <w:szCs w:val="21"/>
          <w:lang w:val="es-MX"/>
        </w:rPr>
      </w:pPr>
      <w:bookmarkStart w:id="1" w:name="_Hlk203592599"/>
      <w:r w:rsidRPr="005A54B7">
        <w:rPr>
          <w:rFonts w:ascii="Geomanist" w:hAnsi="Geomanist"/>
          <w:sz w:val="21"/>
          <w:szCs w:val="21"/>
          <w:lang w:val="es-MX"/>
        </w:rPr>
        <w:t>El pago se realizará en pagos progresivos conforme a las entregas programadas en el contrato respectivo por los servicios de cada “ORDEN DE TRABAJO”, en pesos mexicanos por servicio devengado,</w:t>
      </w:r>
      <w:r w:rsidR="003A40A0" w:rsidRPr="005A54B7">
        <w:rPr>
          <w:rFonts w:ascii="Geomanist" w:hAnsi="Geomanist"/>
          <w:sz w:val="21"/>
          <w:szCs w:val="21"/>
          <w:lang w:val="es-MX"/>
        </w:rPr>
        <w:t xml:space="preserve"> </w:t>
      </w:r>
      <w:r w:rsidR="003A40A0" w:rsidRPr="005A54B7">
        <w:rPr>
          <w:rFonts w:ascii="Geomanist" w:hAnsi="Geomanist"/>
          <w:b/>
          <w:bCs/>
          <w:sz w:val="21"/>
          <w:szCs w:val="21"/>
          <w:lang w:val="es-MX"/>
        </w:rPr>
        <w:t>de acuerdo al Artículo 73 de la Ley de Adquisiciones, Arrendamientos y Servicios del Sector Público (LAASSP) y al inciso 5.5.1 de las Políticas, Bases y Lineamientos en Materia de Adquisiciones, Arrendamientos y Servicios (POBALINES)</w:t>
      </w:r>
      <w:r w:rsidRPr="005A54B7">
        <w:rPr>
          <w:rFonts w:ascii="Geomanist" w:hAnsi="Geomanist"/>
          <w:b/>
          <w:bCs/>
          <w:sz w:val="21"/>
          <w:szCs w:val="21"/>
          <w:lang w:val="es-MX"/>
        </w:rPr>
        <w:t>,</w:t>
      </w:r>
      <w:r w:rsidRPr="005A54B7">
        <w:rPr>
          <w:rFonts w:ascii="Geomanist" w:hAnsi="Geomanist"/>
          <w:sz w:val="21"/>
          <w:szCs w:val="21"/>
          <w:lang w:val="es-MX"/>
        </w:rPr>
        <w:t xml:space="preserve">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w:t>
      </w:r>
      <w:proofErr w:type="spellStart"/>
      <w:r w:rsidRPr="005A54B7">
        <w:rPr>
          <w:rFonts w:ascii="Geomanist" w:hAnsi="Geomanist"/>
          <w:sz w:val="21"/>
          <w:szCs w:val="21"/>
          <w:lang w:val="es-MX"/>
        </w:rPr>
        <w:t>Millenium</w:t>
      </w:r>
      <w:proofErr w:type="spellEnd"/>
      <w:r w:rsidRPr="005A54B7">
        <w:rPr>
          <w:rFonts w:ascii="Geomanist" w:hAnsi="Geomanist"/>
          <w:sz w:val="21"/>
          <w:szCs w:val="21"/>
          <w:lang w:val="es-MX"/>
        </w:rPr>
        <w:t>.</w:t>
      </w:r>
    </w:p>
    <w:bookmarkEnd w:id="1"/>
    <w:p w14:paraId="795BE6BA" w14:textId="77777777" w:rsidR="0018218C" w:rsidRPr="0018218C" w:rsidRDefault="0018218C" w:rsidP="0018218C">
      <w:pPr>
        <w:ind w:left="-142" w:right="-234"/>
        <w:jc w:val="both"/>
        <w:rPr>
          <w:rFonts w:ascii="Geomanist" w:hAnsi="Geomanist"/>
          <w:sz w:val="21"/>
          <w:szCs w:val="21"/>
          <w:lang w:val="es-MX"/>
        </w:rPr>
      </w:pPr>
    </w:p>
    <w:p w14:paraId="55AF6D52" w14:textId="77777777" w:rsidR="0018218C" w:rsidRDefault="0018218C" w:rsidP="0018218C">
      <w:pPr>
        <w:ind w:left="-142" w:right="-234"/>
        <w:jc w:val="both"/>
        <w:rPr>
          <w:rFonts w:ascii="Geomanist" w:hAnsi="Geomanist"/>
          <w:sz w:val="21"/>
          <w:szCs w:val="21"/>
          <w:lang w:val="es-MX"/>
        </w:rPr>
      </w:pPr>
      <w:r w:rsidRPr="0018218C">
        <w:rPr>
          <w:rFonts w:ascii="Geomanist" w:hAnsi="Geomanist"/>
          <w:sz w:val="21"/>
          <w:szCs w:val="21"/>
          <w:lang w:val="es-MX"/>
        </w:rPr>
        <w:t xml:space="preserve">Atendiendo a las características de la prestación del servicio, el mismo se formalizará </w:t>
      </w:r>
      <w:proofErr w:type="gramStart"/>
      <w:r w:rsidRPr="0018218C">
        <w:rPr>
          <w:rFonts w:ascii="Geomanist" w:hAnsi="Geomanist"/>
          <w:sz w:val="21"/>
          <w:szCs w:val="21"/>
          <w:lang w:val="es-MX"/>
        </w:rPr>
        <w:t>de acuerdo a</w:t>
      </w:r>
      <w:proofErr w:type="gramEnd"/>
      <w:r w:rsidRPr="0018218C">
        <w:rPr>
          <w:rFonts w:ascii="Geomanist" w:hAnsi="Geomanist"/>
          <w:sz w:val="21"/>
          <w:szCs w:val="21"/>
          <w:lang w:val="es-MX"/>
        </w:rPr>
        <w:t xml:space="preserve"> cantidades previamente determinadas, establecidas con base al estudio de mercado que se realice, así como al presupuesto disponible autorizado mediante un Dictamen de Disponibilidad Presupuestal.</w:t>
      </w:r>
    </w:p>
    <w:bookmarkEnd w:id="0"/>
    <w:p w14:paraId="10A0D8F6" w14:textId="77777777" w:rsidR="00B43BFE" w:rsidRDefault="00B43BFE" w:rsidP="00B43BFE">
      <w:pPr>
        <w:rPr>
          <w:rFonts w:ascii="Geomanist" w:hAnsi="Geomanist"/>
          <w:sz w:val="21"/>
          <w:szCs w:val="21"/>
          <w:lang w:val="es-MX"/>
        </w:rPr>
      </w:pPr>
    </w:p>
    <w:p w14:paraId="3936D478" w14:textId="52D295E4" w:rsidR="0018218C" w:rsidRPr="0018218C" w:rsidRDefault="0018218C" w:rsidP="0018218C">
      <w:pPr>
        <w:tabs>
          <w:tab w:val="left" w:pos="3181"/>
        </w:tabs>
        <w:ind w:left="-142"/>
        <w:jc w:val="both"/>
        <w:rPr>
          <w:rFonts w:ascii="Geomanist" w:hAnsi="Geomanist"/>
          <w:b/>
          <w:bCs/>
          <w:sz w:val="21"/>
          <w:szCs w:val="21"/>
          <w:lang w:val="es-MX"/>
        </w:rPr>
      </w:pPr>
      <w:r w:rsidRPr="0018218C">
        <w:rPr>
          <w:rFonts w:ascii="Geomanist" w:hAnsi="Geomanist"/>
          <w:b/>
          <w:bCs/>
          <w:sz w:val="21"/>
          <w:szCs w:val="21"/>
          <w:lang w:val="es-MX"/>
        </w:rPr>
        <w:t>k.1.) Modalidad de la contratación.</w:t>
      </w:r>
    </w:p>
    <w:p w14:paraId="0781C415" w14:textId="77777777" w:rsidR="0018218C" w:rsidRDefault="0018218C" w:rsidP="0018218C">
      <w:pPr>
        <w:widowControl w:val="0"/>
        <w:ind w:left="-142"/>
        <w:jc w:val="both"/>
        <w:rPr>
          <w:rFonts w:ascii="Geomanist" w:hAnsi="Geomanist"/>
          <w:b/>
          <w:bCs/>
          <w:sz w:val="21"/>
          <w:szCs w:val="21"/>
          <w:lang w:val="es-MX"/>
        </w:rPr>
      </w:pPr>
    </w:p>
    <w:p w14:paraId="184C0DDB" w14:textId="77777777" w:rsidR="0018218C" w:rsidRPr="0018218C" w:rsidRDefault="0018218C" w:rsidP="0018218C">
      <w:pPr>
        <w:ind w:left="-142" w:right="15"/>
        <w:jc w:val="both"/>
        <w:rPr>
          <w:rFonts w:ascii="Geomanist" w:hAnsi="Geomanist"/>
          <w:sz w:val="21"/>
          <w:szCs w:val="21"/>
          <w:lang w:val="es-MX"/>
        </w:rPr>
      </w:pPr>
      <w:r w:rsidRPr="0018218C">
        <w:rPr>
          <w:rFonts w:ascii="Geomanist" w:hAnsi="Geomanist"/>
          <w:sz w:val="21"/>
          <w:szCs w:val="21"/>
          <w:lang w:val="es-MX"/>
        </w:rPr>
        <w:t xml:space="preserve">Atendiendo a las características de la prestación del servicio, el mismo se formalizará mediante la modalidad de CONTRATO ABIERTO, por lo que se establecerá un presupuesto mínimo y máximo susceptible de ejercerse, durante la vigencia del contrato. </w:t>
      </w:r>
    </w:p>
    <w:p w14:paraId="38BC5530" w14:textId="77777777" w:rsidR="0018218C" w:rsidRPr="0018218C" w:rsidRDefault="0018218C" w:rsidP="0018218C">
      <w:pPr>
        <w:ind w:left="-142" w:right="15"/>
        <w:jc w:val="both"/>
        <w:rPr>
          <w:rFonts w:ascii="Geomanist" w:hAnsi="Geomanist"/>
          <w:sz w:val="21"/>
          <w:szCs w:val="21"/>
          <w:lang w:val="es-MX"/>
        </w:rPr>
      </w:pPr>
    </w:p>
    <w:p w14:paraId="2C1CE8FB" w14:textId="77777777" w:rsidR="0018218C" w:rsidRPr="0018218C" w:rsidRDefault="0018218C" w:rsidP="0018218C">
      <w:pPr>
        <w:ind w:left="-142" w:right="15"/>
        <w:jc w:val="both"/>
        <w:rPr>
          <w:rFonts w:ascii="Geomanist" w:hAnsi="Geomanist"/>
          <w:sz w:val="21"/>
          <w:szCs w:val="21"/>
          <w:lang w:val="es-MX"/>
        </w:rPr>
      </w:pPr>
      <w:r w:rsidRPr="0018218C">
        <w:rPr>
          <w:rFonts w:ascii="Geomanist" w:hAnsi="Geomanist"/>
          <w:sz w:val="21"/>
          <w:szCs w:val="21"/>
          <w:lang w:val="es-MX"/>
        </w:rPr>
        <w:t xml:space="preserve">Tratándose de una contratación entre entidades, en lo que respecta al presupuesto mínimo y máximo que podrá ejercerse, se establece que la cantidad o presupuesto mínimo corresponderá al cuarenta por ciento de la cantidad o presupuesto máximo; sin que sea forzoso a “EL INSTITUTO” ejercer el porcentaje  correspondiente al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 “EL INSTITUTO”, ni para la dependencia en calidad de proveedor. </w:t>
      </w:r>
    </w:p>
    <w:p w14:paraId="6C22B727" w14:textId="77777777" w:rsidR="0018218C" w:rsidRPr="0018218C" w:rsidRDefault="0018218C" w:rsidP="0018218C">
      <w:pPr>
        <w:ind w:right="15"/>
        <w:jc w:val="both"/>
        <w:rPr>
          <w:rFonts w:ascii="Geomanist" w:hAnsi="Geomanist"/>
          <w:sz w:val="21"/>
          <w:szCs w:val="21"/>
          <w:lang w:val="es-MX"/>
        </w:rPr>
      </w:pPr>
    </w:p>
    <w:p w14:paraId="0AD9486F" w14:textId="60458C42" w:rsidR="0018218C" w:rsidRPr="0018218C" w:rsidRDefault="0018218C" w:rsidP="0018218C">
      <w:pPr>
        <w:ind w:left="-142"/>
        <w:jc w:val="both"/>
        <w:rPr>
          <w:rFonts w:ascii="Geomanist" w:hAnsi="Geomanist"/>
          <w:sz w:val="21"/>
          <w:szCs w:val="21"/>
          <w:lang w:val="es-MX"/>
        </w:rPr>
      </w:pPr>
      <w:r w:rsidRPr="0018218C">
        <w:rPr>
          <w:rFonts w:ascii="Geomanist" w:hAnsi="Geomanist"/>
          <w:sz w:val="21"/>
          <w:szCs w:val="21"/>
          <w:lang w:val="es-MX"/>
        </w:rPr>
        <w:t xml:space="preserve">En el caso de que “EL PROVEEDOR” sea una persona moral o física, la cantidad o presupuesto mínimo no podrá ser inferior al cuarenta por ciento de la cantidad o presupuesto máximo, de acuerdo con lo establecido en el </w:t>
      </w:r>
      <w:r w:rsidRPr="005E536D">
        <w:rPr>
          <w:rFonts w:ascii="Geomanist" w:hAnsi="Geomanist"/>
          <w:sz w:val="21"/>
          <w:szCs w:val="21"/>
          <w:lang w:val="es-MX"/>
        </w:rPr>
        <w:t>artículo 68, fracción I, de la Ley de Adquisiciones</w:t>
      </w:r>
      <w:r w:rsidRPr="0018218C">
        <w:rPr>
          <w:rFonts w:ascii="Geomanist" w:hAnsi="Geomanist"/>
          <w:sz w:val="21"/>
          <w:szCs w:val="21"/>
          <w:lang w:val="es-MX"/>
        </w:rPr>
        <w:t xml:space="preserve"> Arrendamientos y Servicios del Sector Público.</w:t>
      </w:r>
    </w:p>
    <w:p w14:paraId="4601D774" w14:textId="77777777" w:rsidR="0018218C" w:rsidRPr="00FB3AA7" w:rsidRDefault="0018218C" w:rsidP="0018218C">
      <w:pPr>
        <w:ind w:left="-142"/>
        <w:jc w:val="both"/>
        <w:rPr>
          <w:rFonts w:ascii="Noto Sans" w:eastAsia="Montserrat" w:hAnsi="Noto Sans" w:cs="Noto Sans"/>
          <w:color w:val="000000"/>
          <w:sz w:val="20"/>
          <w:szCs w:val="20"/>
        </w:rPr>
      </w:pPr>
    </w:p>
    <w:p w14:paraId="7895A6F1" w14:textId="235B3E11" w:rsidR="00F71168" w:rsidRPr="00F71168" w:rsidRDefault="00F71168" w:rsidP="0037680B">
      <w:pPr>
        <w:ind w:left="698" w:right="-234" w:hanging="840"/>
        <w:jc w:val="both"/>
        <w:rPr>
          <w:rFonts w:ascii="Geomanist" w:hAnsi="Geomanist"/>
          <w:b/>
          <w:bCs/>
          <w:sz w:val="21"/>
          <w:szCs w:val="21"/>
          <w:lang w:val="es-MX"/>
        </w:rPr>
      </w:pPr>
      <w:r w:rsidRPr="00F71168">
        <w:rPr>
          <w:rFonts w:ascii="Geomanist" w:hAnsi="Geomanist"/>
          <w:b/>
          <w:bCs/>
          <w:sz w:val="21"/>
          <w:szCs w:val="21"/>
          <w:lang w:val="es-MX"/>
        </w:rPr>
        <w:t xml:space="preserve">l) </w:t>
      </w:r>
      <w:r w:rsidR="0037680B">
        <w:rPr>
          <w:rFonts w:ascii="Geomanist" w:hAnsi="Geomanist"/>
          <w:b/>
          <w:bCs/>
          <w:sz w:val="21"/>
          <w:szCs w:val="21"/>
          <w:lang w:val="es-MX"/>
        </w:rPr>
        <w:tab/>
      </w:r>
      <w:r w:rsidRPr="00F71168">
        <w:rPr>
          <w:rFonts w:ascii="Geomanist" w:hAnsi="Geomanist"/>
          <w:b/>
          <w:bCs/>
          <w:sz w:val="21"/>
          <w:szCs w:val="21"/>
          <w:lang w:val="es-MX"/>
        </w:rPr>
        <w:t>Establecer los mecanismos de comprobación, supervisión y verificación de los bienes o de los servicios contratados y efectivamente entregados o prestados, así como del cumplimiento de las requisiciones de cada entregable.</w:t>
      </w:r>
    </w:p>
    <w:p w14:paraId="78752105" w14:textId="77777777" w:rsidR="00F71168" w:rsidRDefault="00F71168" w:rsidP="00EE05D8">
      <w:pPr>
        <w:spacing w:line="276" w:lineRule="auto"/>
        <w:jc w:val="both"/>
        <w:rPr>
          <w:rFonts w:ascii="Geomanist" w:hAnsi="Geomanist"/>
          <w:sz w:val="21"/>
          <w:szCs w:val="21"/>
          <w:lang w:val="es-MX"/>
        </w:rPr>
      </w:pPr>
    </w:p>
    <w:p w14:paraId="5752EF91" w14:textId="19E81B89" w:rsid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lastRenderedPageBreak/>
        <w:t>La Coordinación Técnica de Difusión a través del administrador del contrato coordinará y verificará los servicios objeto del contrato.</w:t>
      </w:r>
    </w:p>
    <w:p w14:paraId="1B101759" w14:textId="77777777" w:rsidR="00F71168" w:rsidRPr="00EE05D8" w:rsidRDefault="00F71168" w:rsidP="00EE05D8">
      <w:pPr>
        <w:spacing w:line="276" w:lineRule="auto"/>
        <w:jc w:val="both"/>
        <w:rPr>
          <w:rFonts w:ascii="Geomanist" w:hAnsi="Geomanist"/>
          <w:sz w:val="21"/>
          <w:szCs w:val="21"/>
          <w:lang w:val="es-MX"/>
        </w:rPr>
      </w:pPr>
    </w:p>
    <w:p w14:paraId="23BD6FC2"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Todos los materiales para difundir serán proporcionados por el instituto, por medio de la Coordinación Técnica de Difusión a través del administrador del contrato y en caso de que el proveedor desarrolle algún material para espacios publicitarios nuevos, éstos deberán ser aprobados por la Coordinación Técnica de Difusión para su correcta difusión.</w:t>
      </w:r>
    </w:p>
    <w:p w14:paraId="35753666" w14:textId="77777777" w:rsidR="00EE05D8" w:rsidRPr="00EE05D8" w:rsidRDefault="00EE05D8" w:rsidP="00EE05D8">
      <w:pPr>
        <w:spacing w:line="276" w:lineRule="auto"/>
        <w:jc w:val="both"/>
        <w:rPr>
          <w:rFonts w:ascii="Geomanist" w:hAnsi="Geomanist"/>
          <w:sz w:val="21"/>
          <w:szCs w:val="21"/>
          <w:lang w:val="es-MX"/>
        </w:rPr>
      </w:pPr>
    </w:p>
    <w:p w14:paraId="6CB4C77C"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El proveedor, a fin de acreditar el cumplimiento de sus obligaciones contractuales, se obliga a entregar los documentos y testigos derivados de la orden de servicio para su revisión dentro de los cinco días hábiles posteriores al vencimiento de dicha orden.</w:t>
      </w:r>
    </w:p>
    <w:p w14:paraId="6E55D77B" w14:textId="77777777" w:rsidR="00EE05D8" w:rsidRPr="00EE05D8" w:rsidRDefault="00EE05D8" w:rsidP="00EE05D8">
      <w:pPr>
        <w:spacing w:line="276" w:lineRule="auto"/>
        <w:jc w:val="both"/>
        <w:rPr>
          <w:rFonts w:ascii="Geomanist" w:hAnsi="Geomanist"/>
          <w:sz w:val="21"/>
          <w:szCs w:val="21"/>
          <w:lang w:val="es-MX"/>
        </w:rPr>
      </w:pPr>
    </w:p>
    <w:p w14:paraId="6E387833"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Adicional a lo antes referido, de considerarlo necesario </w:t>
      </w:r>
      <w:r w:rsidRPr="00EE05D8">
        <w:rPr>
          <w:rFonts w:ascii="Geomanist" w:hAnsi="Geomanist"/>
          <w:b/>
          <w:bCs/>
          <w:sz w:val="21"/>
          <w:szCs w:val="21"/>
          <w:lang w:val="es-MX"/>
        </w:rPr>
        <w:t>EL INSTITUTO</w:t>
      </w:r>
      <w:r w:rsidRPr="00EE05D8">
        <w:rPr>
          <w:rFonts w:ascii="Geomanist" w:hAnsi="Geomanist"/>
          <w:sz w:val="21"/>
          <w:szCs w:val="21"/>
          <w:lang w:val="es-MX"/>
        </w:rPr>
        <w:t xml:space="preserve"> podrá solicitar a </w:t>
      </w:r>
      <w:r w:rsidRPr="00EE05D8">
        <w:rPr>
          <w:rFonts w:ascii="Geomanist" w:hAnsi="Geomanist"/>
          <w:b/>
          <w:bCs/>
          <w:sz w:val="21"/>
          <w:szCs w:val="21"/>
          <w:lang w:val="es-MX"/>
        </w:rPr>
        <w:t>EL PROVEEDOR</w:t>
      </w:r>
      <w:r w:rsidRPr="00EE05D8">
        <w:rPr>
          <w:rFonts w:ascii="Geomanist" w:hAnsi="Geomanist"/>
          <w:sz w:val="21"/>
          <w:szCs w:val="21"/>
          <w:lang w:val="es-MX"/>
        </w:rPr>
        <w:t xml:space="preserve"> durante la vigencia de la orden a través de la Coordinación Técnica de Difusión, por conducto del administrador del contrato, los informes correspondientes a dichas órdenes de servicio con la temporalidad que ésta determine, a fin de verificar el avance del cumplimiento de </w:t>
      </w:r>
      <w:proofErr w:type="gramStart"/>
      <w:r w:rsidRPr="00EE05D8">
        <w:rPr>
          <w:rFonts w:ascii="Geomanist" w:hAnsi="Geomanist"/>
          <w:sz w:val="21"/>
          <w:szCs w:val="21"/>
          <w:lang w:val="es-MX"/>
        </w:rPr>
        <w:t>la misma</w:t>
      </w:r>
      <w:proofErr w:type="gramEnd"/>
      <w:r w:rsidRPr="00EE05D8">
        <w:rPr>
          <w:rFonts w:ascii="Geomanist" w:hAnsi="Geomanist"/>
          <w:sz w:val="21"/>
          <w:szCs w:val="21"/>
          <w:lang w:val="es-MX"/>
        </w:rPr>
        <w:t>.</w:t>
      </w:r>
    </w:p>
    <w:p w14:paraId="3B151D07" w14:textId="77777777" w:rsidR="005E536D" w:rsidRDefault="005E536D" w:rsidP="00EE05D8">
      <w:pPr>
        <w:spacing w:line="276" w:lineRule="auto"/>
        <w:jc w:val="both"/>
        <w:rPr>
          <w:rFonts w:ascii="Geomanist" w:hAnsi="Geomanist"/>
          <w:sz w:val="21"/>
          <w:szCs w:val="21"/>
          <w:lang w:val="es-MX"/>
        </w:rPr>
      </w:pPr>
    </w:p>
    <w:p w14:paraId="447BA8DA" w14:textId="54B814A6"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Las entregas antes descritas, </w:t>
      </w:r>
      <w:r w:rsidRPr="00EE05D8">
        <w:rPr>
          <w:rFonts w:ascii="Geomanist" w:hAnsi="Geomanist"/>
          <w:b/>
          <w:bCs/>
          <w:sz w:val="21"/>
          <w:szCs w:val="21"/>
          <w:lang w:val="es-MX"/>
        </w:rPr>
        <w:t>EL PROVEEDOR</w:t>
      </w:r>
      <w:r w:rsidRPr="00EE05D8">
        <w:rPr>
          <w:rFonts w:ascii="Geomanist" w:hAnsi="Geomanist"/>
          <w:sz w:val="21"/>
          <w:szCs w:val="21"/>
          <w:lang w:val="es-MX"/>
        </w:rPr>
        <w:t xml:space="preserve">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w:t>
      </w:r>
      <w:r w:rsidRPr="00EE05D8">
        <w:rPr>
          <w:rFonts w:ascii="Geomanist" w:hAnsi="Geomanist"/>
          <w:b/>
          <w:bCs/>
          <w:sz w:val="21"/>
          <w:szCs w:val="21"/>
          <w:lang w:val="es-MX"/>
        </w:rPr>
        <w:t xml:space="preserve">ANEXO TÉCNICO PARA LA PRESTACIÓN DEL SERVICIO DE DIFUSIÓN DE LAS CAMPAÑAS INSTITUCIONALES </w:t>
      </w:r>
      <w:r w:rsidR="00F5215A">
        <w:rPr>
          <w:rFonts w:ascii="Geomanist" w:hAnsi="Geomanist"/>
          <w:b/>
          <w:bCs/>
          <w:sz w:val="21"/>
          <w:szCs w:val="21"/>
          <w:lang w:val="es-MX"/>
        </w:rPr>
        <w:t>2026</w:t>
      </w:r>
      <w:r w:rsidRPr="00EE05D8">
        <w:rPr>
          <w:rFonts w:ascii="Geomanist" w:hAnsi="Geomanist"/>
          <w:b/>
          <w:bCs/>
          <w:sz w:val="21"/>
          <w:szCs w:val="21"/>
          <w:lang w:val="es-MX"/>
        </w:rPr>
        <w:t>, A TRAVÉS DE MEDIOS DE COMUNICACIÓN COMPLEMENTARIOS IMPRESOS (KIOSCOS, DOVELAS, PANELES DE ANDÉN, VALLAS, PARABUSES, ESPECTACULARES, CARTELERAS Y OTROS SIMILARES).</w:t>
      </w:r>
    </w:p>
    <w:p w14:paraId="6FD646F6" w14:textId="77777777" w:rsidR="00F71168" w:rsidRDefault="00F71168" w:rsidP="00EE05D8">
      <w:pPr>
        <w:spacing w:line="276" w:lineRule="auto"/>
        <w:jc w:val="both"/>
        <w:rPr>
          <w:rFonts w:ascii="Geomanist" w:hAnsi="Geomanist"/>
          <w:sz w:val="21"/>
          <w:szCs w:val="21"/>
          <w:lang w:val="es-MX"/>
        </w:rPr>
      </w:pPr>
    </w:p>
    <w:p w14:paraId="27236509" w14:textId="0B3AF504"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 xml:space="preserve">La difusión de los mensajes podrá ser verificada con reportes de monitoreo, en caso de que </w:t>
      </w:r>
      <w:r w:rsidRPr="00EE05D8">
        <w:rPr>
          <w:rFonts w:ascii="Geomanist" w:hAnsi="Geomanist"/>
          <w:b/>
          <w:bCs/>
          <w:sz w:val="21"/>
          <w:szCs w:val="21"/>
          <w:lang w:val="es-MX"/>
        </w:rPr>
        <w:t>EL INSTITUTO</w:t>
      </w:r>
      <w:r w:rsidRPr="00EE05D8">
        <w:rPr>
          <w:rFonts w:ascii="Geomanist" w:hAnsi="Geomanist"/>
          <w:sz w:val="21"/>
          <w:szCs w:val="21"/>
          <w:lang w:val="es-MX"/>
        </w:rPr>
        <w:t xml:space="preserve"> llegase a contratar una empresa especializada para dicho efecto.</w:t>
      </w:r>
    </w:p>
    <w:p w14:paraId="13E7C9D0" w14:textId="77777777" w:rsidR="00EE05D8" w:rsidRPr="00EE05D8" w:rsidRDefault="00EE05D8" w:rsidP="00EE05D8">
      <w:pPr>
        <w:spacing w:line="276" w:lineRule="auto"/>
        <w:jc w:val="both"/>
        <w:rPr>
          <w:rFonts w:ascii="Geomanist" w:hAnsi="Geomanist"/>
          <w:sz w:val="21"/>
          <w:szCs w:val="21"/>
          <w:lang w:val="es-MX"/>
        </w:rPr>
      </w:pPr>
    </w:p>
    <w:p w14:paraId="3E35E53D" w14:textId="77777777" w:rsidR="00EE05D8" w:rsidRPr="00EE05D8" w:rsidRDefault="00EE05D8" w:rsidP="00EE05D8">
      <w:pPr>
        <w:spacing w:line="276" w:lineRule="auto"/>
        <w:jc w:val="both"/>
        <w:rPr>
          <w:rFonts w:ascii="Geomanist" w:hAnsi="Geomanist"/>
          <w:sz w:val="21"/>
          <w:szCs w:val="21"/>
          <w:lang w:val="es-MX"/>
        </w:rPr>
      </w:pPr>
      <w:r w:rsidRPr="00EE05D8">
        <w:rPr>
          <w:rFonts w:ascii="Geomanist" w:hAnsi="Geomanist"/>
          <w:sz w:val="21"/>
          <w:szCs w:val="21"/>
          <w:lang w:val="es-MX"/>
        </w:rPr>
        <w:t>El administrador del contrato, dependiente de la Coordinación Técnica de Difusión validará los testigos y reportes entregados por EL PROVEEDOR con la Carta Revisión de Testigos verificados por el personal de medios complementarios y en caso de que cumplan con lo solicitado, éste emitirá un oficio con la validación del material para que se inicie el trámite de pago; en caso de que en la revisión se llegue a detectar atraso, cumplimiento parcial o deficiente en la prestación del servicio solicitado en la orden, la Carta Revisión de Testigos deberá hacer notar dichos incumplimientos, y el administrador del contrato emitirá oficio de validación que incluya las penas convencionales y/o deducciones en las que EL PROVEEDOR haya incurrido, a fin de que éste emita la nota de crédito correspondiente.</w:t>
      </w:r>
    </w:p>
    <w:p w14:paraId="34A8233D" w14:textId="77777777" w:rsidR="00EE05D8" w:rsidRDefault="00EE05D8" w:rsidP="00EE05D8">
      <w:pPr>
        <w:spacing w:line="276" w:lineRule="auto"/>
        <w:jc w:val="both"/>
        <w:rPr>
          <w:rFonts w:ascii="Geomanist" w:hAnsi="Geomanist"/>
          <w:sz w:val="21"/>
          <w:szCs w:val="21"/>
          <w:lang w:val="es-MX"/>
        </w:rPr>
      </w:pPr>
    </w:p>
    <w:p w14:paraId="6A289AF0" w14:textId="77777777" w:rsidR="007C28C5" w:rsidRPr="00EE05D8" w:rsidRDefault="007C28C5" w:rsidP="00EE05D8">
      <w:pPr>
        <w:spacing w:line="276" w:lineRule="auto"/>
        <w:jc w:val="both"/>
        <w:rPr>
          <w:rFonts w:ascii="Geomanist" w:hAnsi="Geomanist"/>
          <w:sz w:val="21"/>
          <w:szCs w:val="21"/>
          <w:lang w:val="es-MX"/>
        </w:rPr>
      </w:pPr>
    </w:p>
    <w:p w14:paraId="315C98FA" w14:textId="39890803" w:rsidR="00EE05D8" w:rsidRPr="007C28C5" w:rsidRDefault="00EE05D8" w:rsidP="00EE05D8">
      <w:pPr>
        <w:spacing w:line="276" w:lineRule="auto"/>
        <w:jc w:val="both"/>
        <w:rPr>
          <w:rFonts w:ascii="Geomanist" w:hAnsi="Geomanist" w:cs="Noto Sans"/>
          <w:sz w:val="21"/>
          <w:szCs w:val="21"/>
          <w:lang w:val="es-MX"/>
        </w:rPr>
      </w:pPr>
      <w:r w:rsidRPr="007C28C5">
        <w:rPr>
          <w:rFonts w:ascii="Geomanist" w:hAnsi="Geomanist" w:cs="Noto Sans"/>
          <w:sz w:val="21"/>
          <w:szCs w:val="21"/>
          <w:lang w:val="es-MX"/>
        </w:rPr>
        <w:t xml:space="preserve">Cualquier incumplimiento a lo establecido en el contrato y sus anexos, constituye una causal de rescisión de contrato de conformidad con el artículo </w:t>
      </w:r>
      <w:r w:rsidR="00F71168" w:rsidRPr="007C28C5">
        <w:rPr>
          <w:rFonts w:ascii="Geomanist" w:hAnsi="Geomanist" w:cs="Noto Sans"/>
          <w:sz w:val="21"/>
          <w:szCs w:val="21"/>
          <w:lang w:val="es-MX"/>
        </w:rPr>
        <w:t>77</w:t>
      </w:r>
      <w:r w:rsidRPr="007C28C5">
        <w:rPr>
          <w:rFonts w:ascii="Geomanist" w:hAnsi="Geomanist" w:cs="Noto Sans"/>
          <w:sz w:val="21"/>
          <w:szCs w:val="21"/>
          <w:lang w:val="es-MX"/>
        </w:rPr>
        <w:t xml:space="preserve"> de la Ley de Adquisiciones, Arrendamientos y Servicios del sector Público y 98 segundo párrafo de su reglamento, sin necesidad de agotar el presupuesto mínimo y sin más responsabilidad para EL INSTITUTO.</w:t>
      </w:r>
    </w:p>
    <w:p w14:paraId="4865830A" w14:textId="77777777" w:rsidR="00EE05D8" w:rsidRPr="007C28C5" w:rsidRDefault="00EE05D8" w:rsidP="00EE05D8">
      <w:pPr>
        <w:spacing w:line="276" w:lineRule="auto"/>
        <w:jc w:val="both"/>
        <w:rPr>
          <w:rFonts w:ascii="Geomanist" w:hAnsi="Geomanist" w:cs="Noto Sans"/>
          <w:sz w:val="21"/>
          <w:szCs w:val="21"/>
          <w:lang w:val="es-MX"/>
        </w:rPr>
      </w:pPr>
    </w:p>
    <w:p w14:paraId="7501C4BE" w14:textId="553AC8DD" w:rsidR="00F71168" w:rsidRPr="007C28C5" w:rsidRDefault="00F71168" w:rsidP="0037680B">
      <w:pPr>
        <w:ind w:left="698" w:right="-234" w:hanging="840"/>
        <w:jc w:val="both"/>
        <w:rPr>
          <w:rFonts w:ascii="Geomanist" w:hAnsi="Geomanist" w:cs="Noto Sans"/>
          <w:b/>
          <w:bCs/>
          <w:sz w:val="21"/>
          <w:szCs w:val="21"/>
          <w:lang w:val="es-MX"/>
        </w:rPr>
      </w:pPr>
      <w:r w:rsidRPr="007C28C5">
        <w:rPr>
          <w:rFonts w:ascii="Geomanist" w:hAnsi="Geomanist" w:cs="Noto Sans"/>
          <w:b/>
          <w:bCs/>
          <w:sz w:val="21"/>
          <w:szCs w:val="21"/>
          <w:lang w:val="es-MX"/>
        </w:rPr>
        <w:t xml:space="preserve">m) </w:t>
      </w:r>
      <w:r w:rsidR="0037680B" w:rsidRPr="007C28C5">
        <w:rPr>
          <w:rFonts w:ascii="Geomanist" w:hAnsi="Geomanist" w:cs="Noto Sans"/>
          <w:b/>
          <w:bCs/>
          <w:sz w:val="21"/>
          <w:szCs w:val="21"/>
          <w:lang w:val="es-MX"/>
        </w:rPr>
        <w:tab/>
      </w:r>
      <w:r w:rsidR="00467CCA" w:rsidRPr="007C28C5">
        <w:rPr>
          <w:rFonts w:ascii="Geomanist" w:hAnsi="Geomanist" w:cs="Noto Sans"/>
          <w:b/>
          <w:bCs/>
          <w:sz w:val="21"/>
          <w:szCs w:val="21"/>
          <w:lang w:val="es-MX"/>
        </w:rPr>
        <w:t xml:space="preserve">En caso de que se solicite el otorgamiento de anticipo, deberá señalarse el porcentaje y forma de amortización </w:t>
      </w:r>
      <w:proofErr w:type="gramStart"/>
      <w:r w:rsidR="00467CCA" w:rsidRPr="007C28C5">
        <w:rPr>
          <w:rFonts w:ascii="Geomanist" w:hAnsi="Geomanist" w:cs="Noto Sans"/>
          <w:b/>
          <w:bCs/>
          <w:sz w:val="21"/>
          <w:szCs w:val="21"/>
          <w:lang w:val="es-MX"/>
        </w:rPr>
        <w:t>del mismo</w:t>
      </w:r>
      <w:proofErr w:type="gramEnd"/>
      <w:r w:rsidR="00467CCA" w:rsidRPr="007C28C5">
        <w:rPr>
          <w:rFonts w:ascii="Geomanist" w:hAnsi="Geomanist" w:cs="Noto Sans"/>
          <w:b/>
          <w:bCs/>
          <w:sz w:val="21"/>
          <w:szCs w:val="21"/>
          <w:lang w:val="es-MX"/>
        </w:rPr>
        <w:t xml:space="preserve">, el cual debe ajustarse a las disposiciones establecidas en los artículos 16, 66 fracciones IX y X de la LAASSP y 126 fracción V del RLAASSP, y el numeral 4.2.7 del MAAGAASSP. Así como la justificación para el otorgamiento del anticipo. </w:t>
      </w:r>
      <w:r w:rsidR="00467CCA" w:rsidRPr="007C28C5">
        <w:rPr>
          <w:rFonts w:ascii="Geomanist" w:hAnsi="Geomanist" w:cs="Noto Sans"/>
          <w:sz w:val="21"/>
          <w:szCs w:val="21"/>
          <w:lang w:val="es-MX"/>
        </w:rPr>
        <w:t>No aplica.</w:t>
      </w:r>
    </w:p>
    <w:p w14:paraId="25C3D9B5" w14:textId="5FE595FF" w:rsidR="00F71168" w:rsidRPr="007C28C5" w:rsidRDefault="00F71168" w:rsidP="00F71168">
      <w:pPr>
        <w:ind w:left="-142" w:right="-234"/>
        <w:jc w:val="both"/>
        <w:rPr>
          <w:rFonts w:ascii="Geomanist" w:hAnsi="Geomanist" w:cs="Noto Sans"/>
          <w:b/>
          <w:bCs/>
          <w:sz w:val="21"/>
          <w:szCs w:val="21"/>
          <w:lang w:val="es-MX"/>
        </w:rPr>
      </w:pPr>
    </w:p>
    <w:p w14:paraId="0A8E466E" w14:textId="173C01E4" w:rsidR="00F71168" w:rsidRPr="007C28C5" w:rsidRDefault="00F71168" w:rsidP="0037680B">
      <w:pPr>
        <w:ind w:left="698" w:right="-234" w:hanging="840"/>
        <w:jc w:val="both"/>
        <w:rPr>
          <w:rFonts w:ascii="Geomanist" w:hAnsi="Geomanist" w:cs="Noto Sans"/>
          <w:b/>
          <w:bCs/>
          <w:sz w:val="21"/>
          <w:szCs w:val="21"/>
          <w:lang w:val="es-MX"/>
        </w:rPr>
      </w:pPr>
      <w:r w:rsidRPr="007C28C5">
        <w:rPr>
          <w:rFonts w:ascii="Geomanist" w:hAnsi="Geomanist" w:cs="Noto Sans"/>
          <w:b/>
          <w:bCs/>
          <w:sz w:val="21"/>
          <w:szCs w:val="21"/>
          <w:lang w:val="es-MX"/>
        </w:rPr>
        <w:t xml:space="preserve">n) </w:t>
      </w:r>
      <w:r w:rsidR="0037680B" w:rsidRPr="007C28C5">
        <w:rPr>
          <w:rFonts w:ascii="Geomanist" w:hAnsi="Geomanist" w:cs="Noto Sans"/>
          <w:b/>
          <w:bCs/>
          <w:sz w:val="21"/>
          <w:szCs w:val="21"/>
          <w:lang w:val="es-MX"/>
        </w:rPr>
        <w:tab/>
      </w:r>
      <w:r w:rsidRPr="007C28C5">
        <w:rPr>
          <w:rFonts w:ascii="Geomanist" w:hAnsi="Geomanist" w:cs="Noto Sans"/>
          <w:b/>
          <w:bCs/>
          <w:sz w:val="21"/>
          <w:szCs w:val="21"/>
          <w:lang w:val="es-MX"/>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7C28C5">
        <w:rPr>
          <w:rFonts w:ascii="Geomanist" w:hAnsi="Geomanist" w:cs="Noto Sans"/>
          <w:sz w:val="21"/>
          <w:szCs w:val="21"/>
          <w:lang w:val="es-MX"/>
        </w:rPr>
        <w:t>No aplica.</w:t>
      </w:r>
    </w:p>
    <w:p w14:paraId="17E798C5" w14:textId="77777777" w:rsidR="00EE05D8" w:rsidRPr="007C28C5" w:rsidRDefault="00EE05D8" w:rsidP="00F71168">
      <w:pPr>
        <w:ind w:left="-142" w:right="-234"/>
        <w:jc w:val="both"/>
        <w:rPr>
          <w:rFonts w:ascii="Geomanist" w:hAnsi="Geomanist" w:cs="Noto Sans"/>
          <w:b/>
          <w:bCs/>
          <w:sz w:val="21"/>
          <w:szCs w:val="21"/>
          <w:lang w:val="es-MX"/>
        </w:rPr>
      </w:pPr>
    </w:p>
    <w:p w14:paraId="737F17D9" w14:textId="0CBEAC2C" w:rsidR="00F71168" w:rsidRPr="007C28C5" w:rsidRDefault="00F71168" w:rsidP="0037680B">
      <w:pPr>
        <w:ind w:left="698" w:right="-234" w:hanging="840"/>
        <w:jc w:val="both"/>
        <w:rPr>
          <w:rFonts w:ascii="Geomanist" w:hAnsi="Geomanist" w:cs="Noto Sans"/>
          <w:b/>
          <w:bCs/>
          <w:sz w:val="21"/>
          <w:szCs w:val="21"/>
          <w:lang w:val="es-MX"/>
        </w:rPr>
      </w:pPr>
      <w:r w:rsidRPr="007C28C5">
        <w:rPr>
          <w:rFonts w:ascii="Geomanist" w:hAnsi="Geomanist" w:cs="Noto Sans"/>
          <w:b/>
          <w:bCs/>
          <w:sz w:val="21"/>
          <w:szCs w:val="21"/>
          <w:lang w:val="es-MX"/>
        </w:rPr>
        <w:t xml:space="preserve">o) </w:t>
      </w:r>
      <w:r w:rsidR="0037680B" w:rsidRPr="007C28C5">
        <w:rPr>
          <w:rFonts w:ascii="Geomanist" w:hAnsi="Geomanist" w:cs="Noto Sans"/>
          <w:b/>
          <w:bCs/>
          <w:sz w:val="21"/>
          <w:szCs w:val="21"/>
          <w:lang w:val="es-MX"/>
        </w:rPr>
        <w:tab/>
      </w:r>
      <w:r w:rsidRPr="007C28C5">
        <w:rPr>
          <w:rFonts w:ascii="Geomanist" w:hAnsi="Geomanist" w:cs="Noto Sans"/>
          <w:b/>
          <w:bCs/>
          <w:sz w:val="21"/>
          <w:szCs w:val="21"/>
          <w:lang w:val="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w:t>
      </w:r>
      <w:r w:rsidR="00B43BFE" w:rsidRPr="007C28C5">
        <w:rPr>
          <w:rFonts w:ascii="Geomanist" w:hAnsi="Geomanist" w:cs="Noto Sans"/>
          <w:b/>
          <w:bCs/>
          <w:sz w:val="21"/>
          <w:szCs w:val="21"/>
          <w:lang w:val="es-MX"/>
        </w:rPr>
        <w:t xml:space="preserve"> </w:t>
      </w:r>
      <w:r w:rsidRPr="007C28C5">
        <w:rPr>
          <w:rFonts w:ascii="Geomanist" w:hAnsi="Geomanist" w:cs="Noto Sans"/>
          <w:b/>
          <w:bCs/>
          <w:sz w:val="21"/>
          <w:szCs w:val="21"/>
          <w:lang w:val="es-MX"/>
        </w:rPr>
        <w:t xml:space="preserve">endoso que garantice el contrato o convenio que se celebre, mismo que deberá corresponder al monto o porcentaje que se hubiera establecido, sin que sea necesario exigirle la presentación, exhibición o entrega de la póliza original. </w:t>
      </w:r>
      <w:r w:rsidRPr="007C28C5">
        <w:rPr>
          <w:rFonts w:ascii="Geomanist" w:hAnsi="Geomanist" w:cs="Noto Sans"/>
          <w:sz w:val="21"/>
          <w:szCs w:val="21"/>
          <w:lang w:val="es-MX"/>
        </w:rPr>
        <w:t>No aplica.</w:t>
      </w:r>
    </w:p>
    <w:p w14:paraId="17D346F3" w14:textId="77777777" w:rsidR="005E536D" w:rsidRPr="007C28C5" w:rsidRDefault="005E536D" w:rsidP="00F71168">
      <w:pPr>
        <w:ind w:left="-142" w:right="-234"/>
        <w:jc w:val="both"/>
        <w:rPr>
          <w:rFonts w:ascii="Geomanist" w:hAnsi="Geomanist" w:cs="Noto Sans"/>
          <w:b/>
          <w:bCs/>
          <w:sz w:val="21"/>
          <w:szCs w:val="21"/>
          <w:lang w:val="es-MX"/>
        </w:rPr>
      </w:pPr>
    </w:p>
    <w:p w14:paraId="659B67BA" w14:textId="21D16355" w:rsidR="00F71168" w:rsidRPr="007C28C5" w:rsidRDefault="00F71168" w:rsidP="0037680B">
      <w:pPr>
        <w:ind w:left="698" w:right="-234" w:hanging="840"/>
        <w:jc w:val="both"/>
        <w:rPr>
          <w:rFonts w:ascii="Geomanist" w:hAnsi="Geomanist" w:cs="Noto Sans"/>
          <w:b/>
          <w:bCs/>
          <w:sz w:val="21"/>
          <w:szCs w:val="21"/>
          <w:lang w:val="es-MX"/>
        </w:rPr>
      </w:pPr>
      <w:r w:rsidRPr="007C28C5">
        <w:rPr>
          <w:rFonts w:ascii="Geomanist" w:hAnsi="Geomanist" w:cs="Noto Sans"/>
          <w:b/>
          <w:bCs/>
          <w:sz w:val="21"/>
          <w:szCs w:val="21"/>
          <w:lang w:val="es-MX"/>
        </w:rPr>
        <w:t xml:space="preserve">p) </w:t>
      </w:r>
      <w:r w:rsidR="0037680B" w:rsidRPr="007C28C5">
        <w:rPr>
          <w:rFonts w:ascii="Geomanist" w:hAnsi="Geomanist" w:cs="Noto Sans"/>
          <w:b/>
          <w:bCs/>
          <w:sz w:val="21"/>
          <w:szCs w:val="21"/>
          <w:lang w:val="es-MX"/>
        </w:rPr>
        <w:tab/>
      </w:r>
      <w:r w:rsidRPr="007C28C5">
        <w:rPr>
          <w:rFonts w:ascii="Geomanist" w:hAnsi="Geomanist" w:cs="Noto Sans"/>
          <w:b/>
          <w:bCs/>
          <w:sz w:val="21"/>
          <w:szCs w:val="21"/>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7C28C5">
        <w:rPr>
          <w:rFonts w:ascii="Geomanist" w:hAnsi="Geomanist" w:cs="Noto Sans"/>
          <w:sz w:val="21"/>
          <w:szCs w:val="21"/>
          <w:lang w:val="es-MX"/>
        </w:rPr>
        <w:t>No aplica.</w:t>
      </w:r>
    </w:p>
    <w:p w14:paraId="7A2832BD" w14:textId="77777777" w:rsidR="007C28C5" w:rsidRPr="007C28C5" w:rsidRDefault="007C28C5" w:rsidP="00EE05D8">
      <w:pPr>
        <w:spacing w:line="276" w:lineRule="auto"/>
        <w:jc w:val="both"/>
        <w:rPr>
          <w:rFonts w:ascii="Geomanist" w:hAnsi="Geomanist"/>
          <w:sz w:val="21"/>
          <w:szCs w:val="21"/>
          <w:lang w:val="es-MX"/>
        </w:rPr>
      </w:pPr>
    </w:p>
    <w:p w14:paraId="65BB86BC" w14:textId="32CCE98A" w:rsidR="00EE05D8" w:rsidRPr="007C28C5" w:rsidRDefault="00EE05D8" w:rsidP="00EE05D8">
      <w:pPr>
        <w:spacing w:line="276" w:lineRule="auto"/>
        <w:jc w:val="both"/>
        <w:rPr>
          <w:rFonts w:ascii="Geomanist" w:hAnsi="Geomanist"/>
          <w:sz w:val="21"/>
          <w:szCs w:val="21"/>
          <w:lang w:val="es-MX"/>
        </w:rPr>
      </w:pPr>
      <w:r w:rsidRPr="007C28C5">
        <w:rPr>
          <w:rFonts w:ascii="Geomanist" w:hAnsi="Geomanist"/>
          <w:sz w:val="21"/>
          <w:szCs w:val="21"/>
          <w:lang w:val="es-MX"/>
        </w:rPr>
        <w:t>Atentamente,</w:t>
      </w:r>
    </w:p>
    <w:p w14:paraId="1420DEFE" w14:textId="77777777" w:rsidR="007C28C5" w:rsidRDefault="007C28C5" w:rsidP="00EE05D8">
      <w:pPr>
        <w:spacing w:line="360" w:lineRule="auto"/>
        <w:jc w:val="both"/>
        <w:rPr>
          <w:rFonts w:ascii="Geomanist" w:hAnsi="Geomanist"/>
          <w:sz w:val="21"/>
          <w:szCs w:val="21"/>
          <w:lang w:val="es-MX"/>
        </w:rPr>
      </w:pPr>
    </w:p>
    <w:p w14:paraId="39BC56DD" w14:textId="77777777" w:rsidR="007C28C5" w:rsidRDefault="007C28C5" w:rsidP="00EE05D8">
      <w:pPr>
        <w:spacing w:line="360" w:lineRule="auto"/>
        <w:jc w:val="both"/>
        <w:rPr>
          <w:rFonts w:ascii="Geomanist" w:hAnsi="Geomanist"/>
          <w:sz w:val="21"/>
          <w:szCs w:val="21"/>
          <w:lang w:val="es-MX"/>
        </w:rPr>
      </w:pPr>
    </w:p>
    <w:p w14:paraId="60180592" w14:textId="095D1DED" w:rsidR="00EE05D8" w:rsidRPr="007C28C5" w:rsidRDefault="00EE05D8" w:rsidP="00EE05D8">
      <w:pPr>
        <w:spacing w:line="360" w:lineRule="auto"/>
        <w:jc w:val="both"/>
        <w:rPr>
          <w:rFonts w:ascii="Geomanist" w:hAnsi="Geomanist"/>
          <w:sz w:val="21"/>
          <w:szCs w:val="21"/>
          <w:lang w:val="es-MX"/>
        </w:rPr>
      </w:pPr>
      <w:r w:rsidRPr="007C28C5">
        <w:rPr>
          <w:rFonts w:ascii="Geomanist" w:hAnsi="Geomanist"/>
          <w:b/>
          <w:bCs/>
          <w:sz w:val="21"/>
          <w:szCs w:val="21"/>
          <w:lang w:val="es-MX"/>
        </w:rPr>
        <w:t>Lic. Jorge Carlos Lizcano Arias</w:t>
      </w:r>
    </w:p>
    <w:p w14:paraId="149A8FC7" w14:textId="77777777" w:rsidR="00EE05D8" w:rsidRPr="007C28C5" w:rsidRDefault="00EE05D8" w:rsidP="00EE05D8">
      <w:pPr>
        <w:spacing w:line="276" w:lineRule="auto"/>
        <w:jc w:val="both"/>
        <w:rPr>
          <w:rFonts w:ascii="Geomanist" w:hAnsi="Geomanist"/>
          <w:sz w:val="21"/>
          <w:szCs w:val="21"/>
          <w:lang w:val="es-MX"/>
        </w:rPr>
      </w:pPr>
      <w:r w:rsidRPr="007C28C5">
        <w:rPr>
          <w:rFonts w:ascii="Geomanist" w:hAnsi="Geomanist"/>
          <w:sz w:val="21"/>
          <w:szCs w:val="21"/>
          <w:lang w:val="es-MX"/>
        </w:rPr>
        <w:t>Titular de la Coordinación Técnica de Difusión</w:t>
      </w:r>
    </w:p>
    <w:p w14:paraId="15CEE8F0" w14:textId="0944B794" w:rsidR="007C521B" w:rsidRPr="007C28C5" w:rsidRDefault="00EE05D8" w:rsidP="007C28C5">
      <w:pPr>
        <w:spacing w:line="276" w:lineRule="auto"/>
        <w:jc w:val="both"/>
        <w:rPr>
          <w:rFonts w:ascii="Geomanist" w:hAnsi="Geomanist"/>
          <w:sz w:val="21"/>
          <w:szCs w:val="21"/>
          <w:lang w:val="es-MX"/>
        </w:rPr>
      </w:pPr>
      <w:r w:rsidRPr="007C28C5">
        <w:rPr>
          <w:rFonts w:ascii="Geomanist" w:hAnsi="Geomanist"/>
          <w:sz w:val="21"/>
          <w:szCs w:val="21"/>
          <w:lang w:val="es-MX"/>
        </w:rPr>
        <w:t>y Área Requirente</w:t>
      </w:r>
      <w:r w:rsidR="007C521B" w:rsidRPr="007C521B">
        <w:rPr>
          <w:rFonts w:ascii="Montserrat" w:eastAsia="Times New Roman" w:hAnsi="Montserrat"/>
          <w:bCs/>
          <w:color w:val="000000"/>
          <w:sz w:val="18"/>
          <w:szCs w:val="18"/>
          <w:lang w:eastAsia="es-MX"/>
        </w:rPr>
        <w:t xml:space="preserve">                                                       </w:t>
      </w:r>
      <w:r w:rsidR="007C521B" w:rsidRPr="007C521B">
        <w:rPr>
          <w:rFonts w:ascii="Montserrat" w:eastAsia="Times New Roman" w:hAnsi="Montserrat"/>
          <w:bCs/>
          <w:color w:val="000000"/>
          <w:sz w:val="18"/>
          <w:szCs w:val="18"/>
          <w:lang w:val="es-MX" w:eastAsia="es-MX"/>
        </w:rPr>
        <w:tab/>
      </w:r>
      <w:r w:rsidR="007C521B" w:rsidRPr="007C521B">
        <w:rPr>
          <w:rFonts w:ascii="Montserrat" w:eastAsia="Times New Roman" w:hAnsi="Montserrat"/>
          <w:bCs/>
          <w:color w:val="000000"/>
          <w:sz w:val="18"/>
          <w:szCs w:val="18"/>
          <w:lang w:eastAsia="es-MX"/>
        </w:rPr>
        <w:t>        </w:t>
      </w:r>
    </w:p>
    <w:sectPr w:rsidR="007C521B" w:rsidRPr="007C28C5" w:rsidSect="007C28C5">
      <w:headerReference w:type="default" r:id="rId10"/>
      <w:footerReference w:type="default" r:id="rId11"/>
      <w:pgSz w:w="12240" w:h="15840"/>
      <w:pgMar w:top="2694"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2BBBA" w14:textId="77777777" w:rsidR="00896E70" w:rsidRDefault="00896E70" w:rsidP="00A73D65">
      <w:r>
        <w:separator/>
      </w:r>
    </w:p>
  </w:endnote>
  <w:endnote w:type="continuationSeparator" w:id="0">
    <w:p w14:paraId="6A5A41BA" w14:textId="77777777" w:rsidR="00896E70" w:rsidRDefault="00896E70"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w:charset w:val="00"/>
    <w:family w:val="auto"/>
    <w:pitch w:val="variable"/>
    <w:sig w:usb0="2000020F" w:usb1="00000003" w:usb2="00000000" w:usb3="00000000" w:csb0="00000197" w:csb1="00000000"/>
  </w:font>
  <w:font w:name="Noto Sans">
    <w:altName w:val="Calibri"/>
    <w:charset w:val="00"/>
    <w:family w:val="swiss"/>
    <w:pitch w:val="variable"/>
    <w:sig w:usb0="E00082FF" w:usb1="400078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0B67C" w14:textId="19C618FE" w:rsidR="0037680B" w:rsidRPr="004479FE" w:rsidRDefault="002921D2" w:rsidP="0037680B">
    <w:pPr>
      <w:pStyle w:val="Piedepgina"/>
      <w:jc w:val="right"/>
      <w:rPr>
        <w:rFonts w:asciiTheme="minorHAnsi" w:hAnsiTheme="minorHAnsi"/>
        <w:sz w:val="20"/>
        <w:szCs w:val="20"/>
      </w:rPr>
    </w:pPr>
    <w:r>
      <w:rPr>
        <w:noProof/>
      </w:rPr>
      <w:drawing>
        <wp:anchor distT="0" distB="0" distL="114300" distR="114300" simplePos="0" relativeHeight="251663360" behindDoc="0" locked="0" layoutInCell="1" allowOverlap="1" wp14:anchorId="5FB97D52" wp14:editId="27011F1E">
          <wp:simplePos x="0" y="0"/>
          <wp:positionH relativeFrom="page">
            <wp:align>left</wp:align>
          </wp:positionH>
          <wp:positionV relativeFrom="paragraph">
            <wp:posOffset>-604520</wp:posOffset>
          </wp:positionV>
          <wp:extent cx="2249805" cy="1392555"/>
          <wp:effectExtent l="0" t="0" r="0" b="0"/>
          <wp:wrapNone/>
          <wp:docPr id="2079753967"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r w:rsidR="000D4333">
      <w:rPr>
        <w:noProof/>
      </w:rPr>
      <mc:AlternateContent>
        <mc:Choice Requires="wps">
          <w:drawing>
            <wp:anchor distT="0" distB="0" distL="114300" distR="114300" simplePos="0" relativeHeight="251662336" behindDoc="0" locked="0" layoutInCell="1" allowOverlap="1" wp14:anchorId="7708F51D" wp14:editId="5FD370C5">
              <wp:simplePos x="0" y="0"/>
              <wp:positionH relativeFrom="column">
                <wp:posOffset>1145540</wp:posOffset>
              </wp:positionH>
              <wp:positionV relativeFrom="paragraph">
                <wp:posOffset>-390035</wp:posOffset>
              </wp:positionV>
              <wp:extent cx="5662930" cy="344859"/>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4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3F09B" w14:textId="77777777" w:rsidR="000D4333" w:rsidRPr="00C84662" w:rsidRDefault="000D4333" w:rsidP="000D4333">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19229C7" w14:textId="77777777" w:rsidR="000D4333" w:rsidRPr="00C84662" w:rsidRDefault="000D4333" w:rsidP="000D4333">
                          <w:pPr>
                            <w:spacing w:after="240"/>
                            <w:rPr>
                              <w:rFonts w:ascii="Times New Roman" w:eastAsia="Times New Roman" w:hAnsi="Times New Roman"/>
                              <w:lang w:val="es-MX"/>
                            </w:rPr>
                          </w:pPr>
                        </w:p>
                        <w:p w14:paraId="2F596500" w14:textId="77777777" w:rsidR="000D4333" w:rsidRPr="00C84662" w:rsidRDefault="000D4333" w:rsidP="000D4333">
                          <w:pPr>
                            <w:rPr>
                              <w:rFonts w:ascii="Times New Roman" w:eastAsia="Times New Roman" w:hAnsi="Times New Roman"/>
                              <w:lang w:val="es-MX"/>
                            </w:rPr>
                          </w:pPr>
                        </w:p>
                        <w:p w14:paraId="13848333" w14:textId="77777777" w:rsidR="000D4333" w:rsidRDefault="000D4333" w:rsidP="000D4333">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8F51D" id="Rectángulo 5" o:spid="_x0000_s1027" style="position:absolute;left:0;text-align:left;margin-left:90.2pt;margin-top:-30.7pt;width:445.9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" filled="f" stroked="f">
              <v:textbox inset="2.53958mm,1.2694mm,2.53958mm,1.2694mm">
                <w:txbxContent>
                  <w:p w14:paraId="26E3F09B" w14:textId="77777777" w:rsidR="000D4333" w:rsidRPr="00C84662" w:rsidRDefault="000D4333" w:rsidP="000D4333">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119229C7" w14:textId="77777777" w:rsidR="000D4333" w:rsidRPr="00C84662" w:rsidRDefault="000D4333" w:rsidP="000D4333">
                    <w:pPr>
                      <w:spacing w:after="240"/>
                      <w:rPr>
                        <w:rFonts w:ascii="Times New Roman" w:eastAsia="Times New Roman" w:hAnsi="Times New Roman"/>
                        <w:lang w:val="es-MX"/>
                      </w:rPr>
                    </w:pPr>
                  </w:p>
                  <w:p w14:paraId="2F596500" w14:textId="77777777" w:rsidR="000D4333" w:rsidRPr="00C84662" w:rsidRDefault="000D4333" w:rsidP="000D4333">
                    <w:pPr>
                      <w:rPr>
                        <w:rFonts w:ascii="Times New Roman" w:eastAsia="Times New Roman" w:hAnsi="Times New Roman"/>
                        <w:lang w:val="es-MX"/>
                      </w:rPr>
                    </w:pPr>
                  </w:p>
                  <w:p w14:paraId="13848333" w14:textId="77777777" w:rsidR="000D4333" w:rsidRDefault="000D4333" w:rsidP="000D4333">
                    <w:pPr>
                      <w:textDirection w:val="btLr"/>
                    </w:pPr>
                  </w:p>
                </w:txbxContent>
              </v:textbox>
            </v:rect>
          </w:pict>
        </mc:Fallback>
      </mc:AlternateContent>
    </w:r>
    <w:sdt>
      <w:sdtPr>
        <w:id w:val="1728636285"/>
        <w:docPartObj>
          <w:docPartGallery w:val="Page Numbers (Top of Page)"/>
          <w:docPartUnique/>
        </w:docPartObj>
      </w:sdtPr>
      <w:sdtEndPr>
        <w:rPr>
          <w:rFonts w:asciiTheme="minorHAnsi" w:hAnsiTheme="minorHAnsi"/>
          <w:sz w:val="20"/>
          <w:szCs w:val="20"/>
        </w:rPr>
      </w:sdtEndPr>
      <w:sdtContent>
        <w:r w:rsidR="0037680B" w:rsidRPr="004479FE">
          <w:rPr>
            <w:rFonts w:asciiTheme="minorHAnsi" w:hAnsiTheme="minorHAnsi"/>
            <w:sz w:val="20"/>
            <w:szCs w:val="20"/>
          </w:rPr>
          <w:t xml:space="preserve">Página </w:t>
        </w:r>
        <w:r w:rsidR="0037680B" w:rsidRPr="004479FE">
          <w:rPr>
            <w:rFonts w:asciiTheme="minorHAnsi" w:hAnsiTheme="minorHAnsi"/>
            <w:b/>
            <w:bCs/>
            <w:sz w:val="20"/>
            <w:szCs w:val="20"/>
          </w:rPr>
          <w:fldChar w:fldCharType="begin"/>
        </w:r>
        <w:r w:rsidR="0037680B" w:rsidRPr="004479FE">
          <w:rPr>
            <w:rFonts w:asciiTheme="minorHAnsi" w:hAnsiTheme="minorHAnsi"/>
            <w:b/>
            <w:bCs/>
            <w:sz w:val="20"/>
            <w:szCs w:val="20"/>
          </w:rPr>
          <w:instrText>PAGE</w:instrText>
        </w:r>
        <w:r w:rsidR="0037680B" w:rsidRPr="004479FE">
          <w:rPr>
            <w:rFonts w:asciiTheme="minorHAnsi" w:hAnsiTheme="minorHAnsi"/>
            <w:b/>
            <w:bCs/>
            <w:sz w:val="20"/>
            <w:szCs w:val="20"/>
          </w:rPr>
          <w:fldChar w:fldCharType="separate"/>
        </w:r>
        <w:r w:rsidR="0037680B">
          <w:rPr>
            <w:b/>
            <w:bCs/>
            <w:sz w:val="20"/>
            <w:szCs w:val="20"/>
          </w:rPr>
          <w:t>6</w:t>
        </w:r>
        <w:r w:rsidR="0037680B" w:rsidRPr="004479FE">
          <w:rPr>
            <w:rFonts w:asciiTheme="minorHAnsi" w:hAnsiTheme="minorHAnsi"/>
            <w:sz w:val="20"/>
            <w:szCs w:val="20"/>
          </w:rPr>
          <w:fldChar w:fldCharType="end"/>
        </w:r>
        <w:r w:rsidR="0037680B" w:rsidRPr="004479FE">
          <w:rPr>
            <w:rFonts w:asciiTheme="minorHAnsi" w:hAnsiTheme="minorHAnsi"/>
            <w:sz w:val="20"/>
            <w:szCs w:val="20"/>
          </w:rPr>
          <w:t xml:space="preserve"> de </w:t>
        </w:r>
        <w:r w:rsidR="0037680B" w:rsidRPr="004479FE">
          <w:rPr>
            <w:rFonts w:asciiTheme="minorHAnsi" w:hAnsiTheme="minorHAnsi"/>
            <w:b/>
            <w:bCs/>
            <w:sz w:val="20"/>
            <w:szCs w:val="20"/>
          </w:rPr>
          <w:fldChar w:fldCharType="begin"/>
        </w:r>
        <w:r w:rsidR="0037680B" w:rsidRPr="004479FE">
          <w:rPr>
            <w:rFonts w:asciiTheme="minorHAnsi" w:hAnsiTheme="minorHAnsi"/>
            <w:b/>
            <w:bCs/>
            <w:sz w:val="20"/>
            <w:szCs w:val="20"/>
          </w:rPr>
          <w:instrText>NUMPAGES</w:instrText>
        </w:r>
        <w:r w:rsidR="0037680B" w:rsidRPr="004479FE">
          <w:rPr>
            <w:rFonts w:asciiTheme="minorHAnsi" w:hAnsiTheme="minorHAnsi"/>
            <w:b/>
            <w:bCs/>
            <w:sz w:val="20"/>
            <w:szCs w:val="20"/>
          </w:rPr>
          <w:fldChar w:fldCharType="separate"/>
        </w:r>
        <w:r w:rsidR="0037680B">
          <w:rPr>
            <w:b/>
            <w:bCs/>
            <w:sz w:val="20"/>
            <w:szCs w:val="20"/>
          </w:rPr>
          <w:t>10</w:t>
        </w:r>
        <w:r w:rsidR="0037680B" w:rsidRPr="004479FE">
          <w:rPr>
            <w:rFonts w:asciiTheme="minorHAnsi" w:hAnsiTheme="minorHAnsi"/>
            <w:sz w:val="20"/>
            <w:szCs w:val="20"/>
          </w:rPr>
          <w:fldChar w:fldCharType="end"/>
        </w:r>
      </w:sdtContent>
    </w:sdt>
  </w:p>
  <w:p w14:paraId="191D82A3" w14:textId="254719EE"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D59B6" w14:textId="77777777" w:rsidR="00896E70" w:rsidRDefault="00896E70" w:rsidP="00A73D65">
      <w:r>
        <w:separator/>
      </w:r>
    </w:p>
  </w:footnote>
  <w:footnote w:type="continuationSeparator" w:id="0">
    <w:p w14:paraId="73607494" w14:textId="77777777" w:rsidR="00896E70" w:rsidRDefault="00896E70"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285852A7" w:rsidR="00A73D65" w:rsidRDefault="00EE05D8">
    <w:pPr>
      <w:pStyle w:val="Encabezado"/>
    </w:pPr>
    <w:r w:rsidRPr="00EE05D8">
      <w:rPr>
        <w:rFonts w:ascii="Times New Roman" w:eastAsia="Times New Roman" w:hAnsi="Times New Roman"/>
        <w:noProof/>
        <w:lang w:val="es-MX" w:eastAsia="es-MX"/>
      </w:rPr>
      <mc:AlternateContent>
        <mc:Choice Requires="wps">
          <w:drawing>
            <wp:anchor distT="0" distB="0" distL="114300" distR="114300" simplePos="0" relativeHeight="251660288" behindDoc="0" locked="0" layoutInCell="1" allowOverlap="1" wp14:anchorId="5F678F28" wp14:editId="4D5F5641">
              <wp:simplePos x="0" y="0"/>
              <wp:positionH relativeFrom="margin">
                <wp:posOffset>-537210</wp:posOffset>
              </wp:positionH>
              <wp:positionV relativeFrom="paragraph">
                <wp:posOffset>721995</wp:posOffset>
              </wp:positionV>
              <wp:extent cx="5867400" cy="438150"/>
              <wp:effectExtent l="0" t="0" r="0" b="0"/>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867400" cy="438150"/>
                      </a:xfrm>
                      <a:prstGeom prst="rect">
                        <a:avLst/>
                      </a:prstGeom>
                      <a:noFill/>
                      <a:ln>
                        <a:noFill/>
                      </a:ln>
                      <a:effectLst/>
                    </wps:spPr>
                    <wps:txbx>
                      <w:txbxContent>
                        <w:p w14:paraId="0E0891F4" w14:textId="699498C4" w:rsidR="00EE05D8" w:rsidRPr="000A13CF" w:rsidRDefault="00EE05D8" w:rsidP="00EE05D8">
                          <w:pPr>
                            <w:spacing w:after="40" w:line="220" w:lineRule="exact"/>
                            <w:jc w:val="both"/>
                            <w:rPr>
                              <w:rFonts w:ascii="Noto Sans" w:hAnsi="Noto Sans" w:cs="Noto Sans"/>
                              <w:b/>
                              <w:bCs/>
                              <w:sz w:val="16"/>
                              <w:szCs w:val="16"/>
                            </w:rPr>
                          </w:pPr>
                          <w:r w:rsidRPr="000A13CF">
                            <w:rPr>
                              <w:rFonts w:ascii="Noto Sans" w:hAnsi="Noto Sans" w:cs="Noto Sans"/>
                              <w:b/>
                              <w:bCs/>
                              <w:sz w:val="16"/>
                              <w:szCs w:val="16"/>
                            </w:rPr>
                            <w:t xml:space="preserve">TÉRMINOS Y CONDICIONES GENERALES PARA LA PRESTACIÓN DEL SERVICIO DE DIFUSIÓN DE LAS CAMPAÑAS INSTITUCIONALES </w:t>
                          </w:r>
                          <w:r w:rsidR="00F5215A">
                            <w:rPr>
                              <w:rFonts w:ascii="Noto Sans" w:hAnsi="Noto Sans" w:cs="Noto Sans"/>
                              <w:b/>
                              <w:bCs/>
                              <w:sz w:val="16"/>
                              <w:szCs w:val="16"/>
                            </w:rPr>
                            <w:t>2026</w:t>
                          </w:r>
                          <w:r w:rsidRPr="000A13CF">
                            <w:rPr>
                              <w:rFonts w:ascii="Noto Sans" w:hAnsi="Noto Sans" w:cs="Noto Sans"/>
                              <w:b/>
                              <w:bCs/>
                              <w:sz w:val="16"/>
                              <w:szCs w:val="16"/>
                            </w:rPr>
                            <w:t>, A TRAVÉS DE MEDIOS DE COMUNICACIÓN COMPLEMENTARIOS IMPRESOS (KIOSCOS, DOVELAS, PANELES DE ANDÉN, VALLAS, PARABUSES, ESPECTACULARES, CARTELERAS Y OTROS SIMILARES).</w:t>
                          </w:r>
                        </w:p>
                        <w:p w14:paraId="79D40232" w14:textId="77777777" w:rsidR="00EE05D8" w:rsidRPr="000A13CF" w:rsidRDefault="00EE05D8" w:rsidP="00EE05D8">
                          <w:pPr>
                            <w:spacing w:after="40" w:line="220" w:lineRule="exact"/>
                            <w:jc w:val="both"/>
                            <w:rPr>
                              <w:rFonts w:ascii="Noto Sans" w:hAnsi="Noto Sans" w:cs="Noto Sans"/>
                              <w:b/>
                              <w:bC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8F28" id="_x0000_t202" coordsize="21600,21600" o:spt="202" path="m,l,21600r21600,l21600,xe">
              <v:stroke joinstyle="miter"/>
              <v:path gradientshapeok="t" o:connecttype="rect"/>
            </v:shapetype>
            <v:shape id="Cuadro de texto 2" o:spid="_x0000_s1026" type="#_x0000_t202" style="position:absolute;margin-left:-42.3pt;margin-top:56.85pt;width:462pt;height:3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" filled="f" stroked="f">
              <v:textbox inset="0,0,0,0">
                <w:txbxContent>
                  <w:p w14:paraId="0E0891F4" w14:textId="699498C4" w:rsidR="00EE05D8" w:rsidRPr="000A13CF" w:rsidRDefault="00EE05D8" w:rsidP="00EE05D8">
                    <w:pPr>
                      <w:spacing w:after="40" w:line="220" w:lineRule="exact"/>
                      <w:jc w:val="both"/>
                      <w:rPr>
                        <w:rFonts w:ascii="Noto Sans" w:hAnsi="Noto Sans" w:cs="Noto Sans"/>
                        <w:b/>
                        <w:bCs/>
                        <w:sz w:val="16"/>
                        <w:szCs w:val="16"/>
                      </w:rPr>
                    </w:pPr>
                    <w:r w:rsidRPr="000A13CF">
                      <w:rPr>
                        <w:rFonts w:ascii="Noto Sans" w:hAnsi="Noto Sans" w:cs="Noto Sans"/>
                        <w:b/>
                        <w:bCs/>
                        <w:sz w:val="16"/>
                        <w:szCs w:val="16"/>
                      </w:rPr>
                      <w:t xml:space="preserve">TÉRMINOS Y CONDICIONES GENERALES PARA LA PRESTACIÓN DEL SERVICIO DE DIFUSIÓN DE LAS CAMPAÑAS INSTITUCIONALES </w:t>
                    </w:r>
                    <w:r w:rsidR="00F5215A">
                      <w:rPr>
                        <w:rFonts w:ascii="Noto Sans" w:hAnsi="Noto Sans" w:cs="Noto Sans"/>
                        <w:b/>
                        <w:bCs/>
                        <w:sz w:val="16"/>
                        <w:szCs w:val="16"/>
                      </w:rPr>
                      <w:t>2026</w:t>
                    </w:r>
                    <w:r w:rsidRPr="000A13CF">
                      <w:rPr>
                        <w:rFonts w:ascii="Noto Sans" w:hAnsi="Noto Sans" w:cs="Noto Sans"/>
                        <w:b/>
                        <w:bCs/>
                        <w:sz w:val="16"/>
                        <w:szCs w:val="16"/>
                      </w:rPr>
                      <w:t>, A TRAVÉS DE MEDIOS DE COMUNICACIÓN COMPLEMENTARIOS IMPRESOS (KIOSCOS, DOVELAS, PANELES DE ANDÉN, VALLAS, PARABUSES, ESPECTACULARES, CARTELERAS Y OTROS SIMILARES).</w:t>
                    </w:r>
                  </w:p>
                  <w:p w14:paraId="79D40232" w14:textId="77777777" w:rsidR="00EE05D8" w:rsidRPr="000A13CF" w:rsidRDefault="00EE05D8" w:rsidP="00EE05D8">
                    <w:pPr>
                      <w:spacing w:after="40" w:line="220" w:lineRule="exact"/>
                      <w:jc w:val="both"/>
                      <w:rPr>
                        <w:rFonts w:ascii="Noto Sans" w:hAnsi="Noto Sans" w:cs="Noto Sans"/>
                        <w:b/>
                        <w:bCs/>
                        <w:sz w:val="20"/>
                        <w:szCs w:val="20"/>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2E90AD54">
          <wp:simplePos x="0" y="0"/>
          <wp:positionH relativeFrom="column">
            <wp:posOffset>-1076960</wp:posOffset>
          </wp:positionH>
          <wp:positionV relativeFrom="paragraph">
            <wp:posOffset>-445770</wp:posOffset>
          </wp:positionV>
          <wp:extent cx="7761605" cy="10043795"/>
          <wp:effectExtent l="0" t="0" r="0" b="0"/>
          <wp:wrapNone/>
          <wp:docPr id="172104546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430466303">
    <w:abstractNumId w:val="0"/>
    <w:lvlOverride w:ilvl="0">
      <w:lvl w:ilvl="0">
        <w:numFmt w:val="lowerLetter"/>
        <w:lvlText w:val="%1."/>
        <w:lvlJc w:val="left"/>
        <w:rPr>
          <w:b/>
          <w:bCs/>
        </w:rPr>
      </w:lvl>
    </w:lvlOverride>
  </w:num>
  <w:num w:numId="2" w16cid:durableId="456142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38C1"/>
    <w:rsid w:val="00087E55"/>
    <w:rsid w:val="00095970"/>
    <w:rsid w:val="000A09C1"/>
    <w:rsid w:val="000A408C"/>
    <w:rsid w:val="000B690D"/>
    <w:rsid w:val="000C0459"/>
    <w:rsid w:val="000C0C8E"/>
    <w:rsid w:val="000D1EEF"/>
    <w:rsid w:val="000D4333"/>
    <w:rsid w:val="000D799D"/>
    <w:rsid w:val="000E5D1C"/>
    <w:rsid w:val="000F360F"/>
    <w:rsid w:val="000F7B5E"/>
    <w:rsid w:val="0010251B"/>
    <w:rsid w:val="00132439"/>
    <w:rsid w:val="00134EDE"/>
    <w:rsid w:val="00156A3E"/>
    <w:rsid w:val="00161740"/>
    <w:rsid w:val="0016179D"/>
    <w:rsid w:val="00171FF4"/>
    <w:rsid w:val="00180A38"/>
    <w:rsid w:val="0018218C"/>
    <w:rsid w:val="00184325"/>
    <w:rsid w:val="001D62B8"/>
    <w:rsid w:val="00206F46"/>
    <w:rsid w:val="00227A39"/>
    <w:rsid w:val="002318AF"/>
    <w:rsid w:val="00256B1D"/>
    <w:rsid w:val="002677DC"/>
    <w:rsid w:val="002921D2"/>
    <w:rsid w:val="0029542D"/>
    <w:rsid w:val="002A6FFE"/>
    <w:rsid w:val="002B217F"/>
    <w:rsid w:val="002B7D21"/>
    <w:rsid w:val="002C04FE"/>
    <w:rsid w:val="002E2142"/>
    <w:rsid w:val="002E4953"/>
    <w:rsid w:val="0030476A"/>
    <w:rsid w:val="00330DC8"/>
    <w:rsid w:val="0034181C"/>
    <w:rsid w:val="00363222"/>
    <w:rsid w:val="00370465"/>
    <w:rsid w:val="0037680B"/>
    <w:rsid w:val="00387F86"/>
    <w:rsid w:val="003A40A0"/>
    <w:rsid w:val="003B3309"/>
    <w:rsid w:val="003C1621"/>
    <w:rsid w:val="003D416E"/>
    <w:rsid w:val="003E1335"/>
    <w:rsid w:val="00406D03"/>
    <w:rsid w:val="00412C3E"/>
    <w:rsid w:val="00467CCA"/>
    <w:rsid w:val="00477F45"/>
    <w:rsid w:val="004A4C4E"/>
    <w:rsid w:val="004A7E32"/>
    <w:rsid w:val="004B78A9"/>
    <w:rsid w:val="004C340D"/>
    <w:rsid w:val="004D146C"/>
    <w:rsid w:val="004D6810"/>
    <w:rsid w:val="004E0D31"/>
    <w:rsid w:val="004E61F3"/>
    <w:rsid w:val="0050162A"/>
    <w:rsid w:val="0052697D"/>
    <w:rsid w:val="005A54B7"/>
    <w:rsid w:val="005B0815"/>
    <w:rsid w:val="005C1A7C"/>
    <w:rsid w:val="005C7CAD"/>
    <w:rsid w:val="005E536D"/>
    <w:rsid w:val="005F267A"/>
    <w:rsid w:val="006071FE"/>
    <w:rsid w:val="00626EE3"/>
    <w:rsid w:val="00631824"/>
    <w:rsid w:val="00631985"/>
    <w:rsid w:val="006322C1"/>
    <w:rsid w:val="006322F9"/>
    <w:rsid w:val="00636E2A"/>
    <w:rsid w:val="006770F8"/>
    <w:rsid w:val="006A355E"/>
    <w:rsid w:val="006A3D09"/>
    <w:rsid w:val="006B77FF"/>
    <w:rsid w:val="006C0425"/>
    <w:rsid w:val="006C3B4E"/>
    <w:rsid w:val="006C5FF5"/>
    <w:rsid w:val="006C69AE"/>
    <w:rsid w:val="006D204A"/>
    <w:rsid w:val="006D644F"/>
    <w:rsid w:val="007128D6"/>
    <w:rsid w:val="00734C42"/>
    <w:rsid w:val="007421E3"/>
    <w:rsid w:val="007443D9"/>
    <w:rsid w:val="00752FD6"/>
    <w:rsid w:val="0078195E"/>
    <w:rsid w:val="007B74AD"/>
    <w:rsid w:val="007C28C5"/>
    <w:rsid w:val="007C521B"/>
    <w:rsid w:val="007D2810"/>
    <w:rsid w:val="007D58FF"/>
    <w:rsid w:val="007D77D1"/>
    <w:rsid w:val="007E5888"/>
    <w:rsid w:val="007F1DB3"/>
    <w:rsid w:val="007F5E00"/>
    <w:rsid w:val="00801926"/>
    <w:rsid w:val="008174CF"/>
    <w:rsid w:val="008256A1"/>
    <w:rsid w:val="00831EE7"/>
    <w:rsid w:val="00834146"/>
    <w:rsid w:val="008920C6"/>
    <w:rsid w:val="00896E70"/>
    <w:rsid w:val="00897720"/>
    <w:rsid w:val="008C6014"/>
    <w:rsid w:val="008C77E2"/>
    <w:rsid w:val="008F2306"/>
    <w:rsid w:val="0090412A"/>
    <w:rsid w:val="009066A7"/>
    <w:rsid w:val="009068C0"/>
    <w:rsid w:val="00907F1C"/>
    <w:rsid w:val="009113DE"/>
    <w:rsid w:val="00924BF6"/>
    <w:rsid w:val="009258EA"/>
    <w:rsid w:val="009307EA"/>
    <w:rsid w:val="00932C27"/>
    <w:rsid w:val="00937C98"/>
    <w:rsid w:val="00942415"/>
    <w:rsid w:val="00942628"/>
    <w:rsid w:val="009446DD"/>
    <w:rsid w:val="00967785"/>
    <w:rsid w:val="009C12D6"/>
    <w:rsid w:val="009E75CC"/>
    <w:rsid w:val="009F2BA1"/>
    <w:rsid w:val="00A07674"/>
    <w:rsid w:val="00A2518E"/>
    <w:rsid w:val="00A301D7"/>
    <w:rsid w:val="00A65FB7"/>
    <w:rsid w:val="00A710EB"/>
    <w:rsid w:val="00A73D65"/>
    <w:rsid w:val="00A87250"/>
    <w:rsid w:val="00AA2FAD"/>
    <w:rsid w:val="00AA4AC1"/>
    <w:rsid w:val="00AB2900"/>
    <w:rsid w:val="00AC0640"/>
    <w:rsid w:val="00B23347"/>
    <w:rsid w:val="00B3608B"/>
    <w:rsid w:val="00B43BFE"/>
    <w:rsid w:val="00B72D65"/>
    <w:rsid w:val="00B72FC0"/>
    <w:rsid w:val="00B87C85"/>
    <w:rsid w:val="00BA01E8"/>
    <w:rsid w:val="00BB21A6"/>
    <w:rsid w:val="00BB2DFF"/>
    <w:rsid w:val="00BC169A"/>
    <w:rsid w:val="00BC43BD"/>
    <w:rsid w:val="00BE3BAF"/>
    <w:rsid w:val="00BF29F6"/>
    <w:rsid w:val="00C02E98"/>
    <w:rsid w:val="00C13382"/>
    <w:rsid w:val="00C1484B"/>
    <w:rsid w:val="00C23B9E"/>
    <w:rsid w:val="00C279A3"/>
    <w:rsid w:val="00C30849"/>
    <w:rsid w:val="00C35451"/>
    <w:rsid w:val="00C4586A"/>
    <w:rsid w:val="00C465FE"/>
    <w:rsid w:val="00C67047"/>
    <w:rsid w:val="00C8003F"/>
    <w:rsid w:val="00C90CED"/>
    <w:rsid w:val="00C918A3"/>
    <w:rsid w:val="00C97E4C"/>
    <w:rsid w:val="00CA59F0"/>
    <w:rsid w:val="00CB7D4F"/>
    <w:rsid w:val="00CE3E99"/>
    <w:rsid w:val="00CF41D4"/>
    <w:rsid w:val="00D1354D"/>
    <w:rsid w:val="00D20C38"/>
    <w:rsid w:val="00D20E67"/>
    <w:rsid w:val="00D32AC0"/>
    <w:rsid w:val="00D53A01"/>
    <w:rsid w:val="00D53D98"/>
    <w:rsid w:val="00D57E82"/>
    <w:rsid w:val="00D61FB3"/>
    <w:rsid w:val="00D63FEA"/>
    <w:rsid w:val="00D7195A"/>
    <w:rsid w:val="00D725F4"/>
    <w:rsid w:val="00D84E05"/>
    <w:rsid w:val="00D97FD6"/>
    <w:rsid w:val="00DA037A"/>
    <w:rsid w:val="00DA1B19"/>
    <w:rsid w:val="00DB259E"/>
    <w:rsid w:val="00DB53A4"/>
    <w:rsid w:val="00DB7D41"/>
    <w:rsid w:val="00E155A4"/>
    <w:rsid w:val="00E319A5"/>
    <w:rsid w:val="00E424B6"/>
    <w:rsid w:val="00E57FE9"/>
    <w:rsid w:val="00E61167"/>
    <w:rsid w:val="00E72958"/>
    <w:rsid w:val="00E93867"/>
    <w:rsid w:val="00EB407F"/>
    <w:rsid w:val="00EB5E8D"/>
    <w:rsid w:val="00EC571B"/>
    <w:rsid w:val="00EC7CF4"/>
    <w:rsid w:val="00EE053F"/>
    <w:rsid w:val="00EE05D8"/>
    <w:rsid w:val="00EE6B41"/>
    <w:rsid w:val="00F24915"/>
    <w:rsid w:val="00F401F9"/>
    <w:rsid w:val="00F437B1"/>
    <w:rsid w:val="00F47CDE"/>
    <w:rsid w:val="00F5215A"/>
    <w:rsid w:val="00F71168"/>
    <w:rsid w:val="00F745B2"/>
    <w:rsid w:val="00F77049"/>
    <w:rsid w:val="00F8142D"/>
    <w:rsid w:val="00F945F2"/>
    <w:rsid w:val="00FA0465"/>
    <w:rsid w:val="00FA1218"/>
    <w:rsid w:val="00FA2747"/>
    <w:rsid w:val="00FA4C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4283</Words>
  <Characters>23215</Characters>
  <Application>Microsoft Office Word</Application>
  <DocSecurity>0</DocSecurity>
  <Lines>552</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2025-07-17T03:31:00Z</cp:lastPrinted>
  <dcterms:created xsi:type="dcterms:W3CDTF">2026-01-08T00:39:00Z</dcterms:created>
  <dcterms:modified xsi:type="dcterms:W3CDTF">2026-01-08T00:39:00Z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